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D3" w:rsidRDefault="003A5CD3" w:rsidP="003927D8">
      <w:pPr>
        <w:pStyle w:val="12"/>
        <w:shd w:val="clear" w:color="auto" w:fill="auto"/>
        <w:ind w:left="20"/>
        <w:jc w:val="right"/>
        <w:rPr>
          <w:b w:val="0"/>
          <w:sz w:val="24"/>
          <w:szCs w:val="24"/>
        </w:rPr>
      </w:pPr>
      <w:bookmarkStart w:id="0" w:name="bookmark0"/>
    </w:p>
    <w:p w:rsidR="00D36FD0" w:rsidRPr="003927D8" w:rsidRDefault="00D36FD0" w:rsidP="003927D8">
      <w:pPr>
        <w:pStyle w:val="12"/>
        <w:shd w:val="clear" w:color="auto" w:fill="auto"/>
        <w:ind w:left="20"/>
        <w:jc w:val="right"/>
        <w:rPr>
          <w:b w:val="0"/>
          <w:sz w:val="24"/>
          <w:szCs w:val="24"/>
        </w:rPr>
      </w:pPr>
    </w:p>
    <w:p w:rsidR="00D36FD0" w:rsidRDefault="00D36FD0" w:rsidP="00667391">
      <w:pPr>
        <w:pStyle w:val="12"/>
        <w:shd w:val="clear" w:color="auto" w:fill="auto"/>
        <w:ind w:left="20"/>
        <w:rPr>
          <w:sz w:val="28"/>
          <w:szCs w:val="28"/>
        </w:rPr>
      </w:pPr>
    </w:p>
    <w:p w:rsidR="00D36FD0" w:rsidRDefault="00D36FD0" w:rsidP="00667391">
      <w:pPr>
        <w:pStyle w:val="12"/>
        <w:shd w:val="clear" w:color="auto" w:fill="auto"/>
        <w:ind w:left="20"/>
        <w:rPr>
          <w:sz w:val="28"/>
          <w:szCs w:val="28"/>
        </w:rPr>
      </w:pPr>
    </w:p>
    <w:p w:rsidR="00C325B0" w:rsidRDefault="00C325B0" w:rsidP="00667391">
      <w:pPr>
        <w:pStyle w:val="12"/>
        <w:shd w:val="clear" w:color="auto" w:fill="auto"/>
        <w:ind w:left="20"/>
        <w:rPr>
          <w:sz w:val="28"/>
          <w:szCs w:val="28"/>
        </w:rPr>
      </w:pPr>
    </w:p>
    <w:p w:rsidR="00D36FD0" w:rsidRDefault="00D36FD0" w:rsidP="00667391">
      <w:pPr>
        <w:pStyle w:val="12"/>
        <w:shd w:val="clear" w:color="auto" w:fill="auto"/>
        <w:ind w:left="20"/>
        <w:rPr>
          <w:sz w:val="28"/>
          <w:szCs w:val="28"/>
        </w:rPr>
      </w:pPr>
    </w:p>
    <w:p w:rsidR="00D36FD0" w:rsidRDefault="00D36FD0" w:rsidP="00667391">
      <w:pPr>
        <w:pStyle w:val="12"/>
        <w:shd w:val="clear" w:color="auto" w:fill="auto"/>
        <w:ind w:left="20"/>
        <w:rPr>
          <w:sz w:val="28"/>
          <w:szCs w:val="28"/>
        </w:rPr>
      </w:pPr>
    </w:p>
    <w:p w:rsidR="00D36FD0" w:rsidRDefault="00D36FD0" w:rsidP="00667391">
      <w:pPr>
        <w:pStyle w:val="12"/>
        <w:shd w:val="clear" w:color="auto" w:fill="auto"/>
        <w:ind w:left="20"/>
        <w:rPr>
          <w:sz w:val="28"/>
          <w:szCs w:val="28"/>
        </w:rPr>
      </w:pPr>
    </w:p>
    <w:p w:rsidR="00C325B0" w:rsidRDefault="00C325B0" w:rsidP="00C325B0">
      <w:pPr>
        <w:pStyle w:val="12"/>
        <w:shd w:val="clear" w:color="auto" w:fill="auto"/>
        <w:spacing w:after="120"/>
        <w:ind w:left="23"/>
        <w:rPr>
          <w:sz w:val="28"/>
          <w:szCs w:val="28"/>
        </w:rPr>
      </w:pPr>
    </w:p>
    <w:p w:rsidR="00C325B0" w:rsidRDefault="00C325B0" w:rsidP="00667391">
      <w:pPr>
        <w:pStyle w:val="12"/>
        <w:shd w:val="clear" w:color="auto" w:fill="auto"/>
        <w:ind w:left="20"/>
        <w:rPr>
          <w:sz w:val="28"/>
          <w:szCs w:val="28"/>
        </w:rPr>
      </w:pPr>
      <w:bookmarkStart w:id="1" w:name="_GoBack"/>
      <w:bookmarkEnd w:id="1"/>
    </w:p>
    <w:p w:rsidR="00667391" w:rsidRPr="00CC694B" w:rsidRDefault="00667391" w:rsidP="00ED07D1">
      <w:pPr>
        <w:pStyle w:val="12"/>
        <w:shd w:val="clear" w:color="auto" w:fill="auto"/>
        <w:spacing w:line="240" w:lineRule="auto"/>
        <w:ind w:left="20"/>
        <w:rPr>
          <w:sz w:val="28"/>
          <w:szCs w:val="28"/>
        </w:rPr>
      </w:pPr>
      <w:r w:rsidRPr="00CC694B">
        <w:rPr>
          <w:sz w:val="28"/>
          <w:szCs w:val="28"/>
        </w:rPr>
        <w:t>Об утверждении</w:t>
      </w:r>
      <w:bookmarkEnd w:id="0"/>
    </w:p>
    <w:p w:rsidR="00667391" w:rsidRDefault="00667391" w:rsidP="00ED07D1">
      <w:pPr>
        <w:pStyle w:val="30"/>
        <w:shd w:val="clear" w:color="auto" w:fill="auto"/>
        <w:spacing w:after="0" w:line="240" w:lineRule="auto"/>
        <w:ind w:firstLine="1060"/>
        <w:jc w:val="center"/>
        <w:rPr>
          <w:sz w:val="28"/>
          <w:szCs w:val="28"/>
        </w:rPr>
      </w:pPr>
      <w:r w:rsidRPr="00CC694B">
        <w:rPr>
          <w:sz w:val="28"/>
          <w:szCs w:val="28"/>
        </w:rPr>
        <w:t>Методических рекомендаций по определению среднерыночной стоимости государственных основных фондов в Кыргызской Республике</w:t>
      </w:r>
    </w:p>
    <w:p w:rsidR="00667391" w:rsidRPr="00CC694B" w:rsidRDefault="00667391" w:rsidP="00ED07D1">
      <w:pPr>
        <w:pStyle w:val="30"/>
        <w:shd w:val="clear" w:color="auto" w:fill="auto"/>
        <w:spacing w:after="0" w:line="240" w:lineRule="auto"/>
        <w:ind w:firstLine="1060"/>
        <w:rPr>
          <w:sz w:val="28"/>
          <w:szCs w:val="28"/>
        </w:rPr>
      </w:pPr>
    </w:p>
    <w:p w:rsidR="00667391" w:rsidRDefault="00667391" w:rsidP="008A0769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CC694B">
        <w:rPr>
          <w:sz w:val="28"/>
          <w:szCs w:val="28"/>
        </w:rPr>
        <w:t>В целях реал</w:t>
      </w:r>
      <w:r w:rsidR="00423788">
        <w:rPr>
          <w:sz w:val="28"/>
          <w:szCs w:val="28"/>
        </w:rPr>
        <w:t>изации постановления Жогорку Кен</w:t>
      </w:r>
      <w:r w:rsidRPr="00CC694B">
        <w:rPr>
          <w:sz w:val="28"/>
          <w:szCs w:val="28"/>
        </w:rPr>
        <w:t xml:space="preserve">еша Кыргызской Республики от 19 мая 2016 года </w:t>
      </w:r>
      <w:r w:rsidRPr="00CC694B">
        <w:rPr>
          <w:sz w:val="28"/>
          <w:szCs w:val="28"/>
          <w:lang w:bidi="en-US"/>
        </w:rPr>
        <w:t>№553-</w:t>
      </w:r>
      <w:r w:rsidRPr="00CC694B">
        <w:rPr>
          <w:sz w:val="28"/>
          <w:szCs w:val="28"/>
          <w:lang w:val="en-US" w:bidi="en-US"/>
        </w:rPr>
        <w:t>Vl</w:t>
      </w:r>
      <w:r w:rsidRPr="00CC694B">
        <w:rPr>
          <w:sz w:val="28"/>
          <w:szCs w:val="28"/>
          <w:lang w:bidi="en-US"/>
        </w:rPr>
        <w:t xml:space="preserve"> </w:t>
      </w:r>
      <w:r w:rsidRPr="00CC694B">
        <w:rPr>
          <w:sz w:val="28"/>
          <w:szCs w:val="28"/>
        </w:rPr>
        <w:t>«Об инвентаризации, идентификации, переоценке и учёте материальных и нематериальных активов Кыргызской Республики», распоряжения Премьер-министра Кыргызской Республики от 25 октября 2016 года №578 и в соответствии с постановлением Правительства Кыргызской Республики от 15 сент</w:t>
      </w:r>
      <w:r w:rsidR="00423788">
        <w:rPr>
          <w:sz w:val="28"/>
          <w:szCs w:val="28"/>
        </w:rPr>
        <w:t>ября</w:t>
      </w:r>
      <w:r w:rsidR="00423788">
        <w:rPr>
          <w:sz w:val="28"/>
          <w:szCs w:val="28"/>
        </w:rPr>
        <w:br/>
      </w:r>
      <w:r w:rsidRPr="00CC694B">
        <w:rPr>
          <w:sz w:val="28"/>
          <w:szCs w:val="28"/>
        </w:rPr>
        <w:t xml:space="preserve">2014 года №530 «О делегировании отдельных нормотворческих полномочий Правительства Кыргызской Республики ряду государственных органов исполнительной власти» </w:t>
      </w:r>
      <w:r w:rsidRPr="00D36FD0">
        <w:rPr>
          <w:b/>
          <w:sz w:val="28"/>
          <w:szCs w:val="28"/>
        </w:rPr>
        <w:t>приказываю</w:t>
      </w:r>
      <w:r w:rsidRPr="00CC694B">
        <w:rPr>
          <w:sz w:val="28"/>
          <w:szCs w:val="28"/>
        </w:rPr>
        <w:t>:</w:t>
      </w:r>
    </w:p>
    <w:p w:rsidR="008A0769" w:rsidRDefault="008A0769" w:rsidP="008A0769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667391" w:rsidRDefault="00667391" w:rsidP="00842EE3">
      <w:pPr>
        <w:pStyle w:val="20"/>
        <w:numPr>
          <w:ilvl w:val="0"/>
          <w:numId w:val="1"/>
        </w:numPr>
        <w:shd w:val="clear" w:color="auto" w:fill="auto"/>
        <w:tabs>
          <w:tab w:val="left" w:pos="989"/>
        </w:tabs>
        <w:spacing w:before="0" w:after="0" w:line="240" w:lineRule="auto"/>
        <w:ind w:firstLine="709"/>
        <w:rPr>
          <w:sz w:val="28"/>
          <w:szCs w:val="28"/>
        </w:rPr>
      </w:pPr>
      <w:r w:rsidRPr="007C5ED2">
        <w:rPr>
          <w:sz w:val="28"/>
          <w:szCs w:val="28"/>
        </w:rPr>
        <w:t>Утвердить прилагаемые Методические рекомендации по</w:t>
      </w:r>
      <w:r w:rsidR="007C5ED2">
        <w:rPr>
          <w:sz w:val="28"/>
          <w:szCs w:val="28"/>
        </w:rPr>
        <w:t xml:space="preserve"> </w:t>
      </w:r>
      <w:r w:rsidRPr="007C5ED2">
        <w:rPr>
          <w:sz w:val="28"/>
          <w:szCs w:val="28"/>
        </w:rPr>
        <w:t>определению среднерыночной стоимости государственных основных фондов в Кыргызской Республике</w:t>
      </w:r>
      <w:r w:rsidR="00AC6CB4">
        <w:rPr>
          <w:sz w:val="28"/>
          <w:szCs w:val="28"/>
        </w:rPr>
        <w:t xml:space="preserve"> (далее</w:t>
      </w:r>
      <w:r w:rsidR="00F43E7F">
        <w:rPr>
          <w:sz w:val="28"/>
          <w:szCs w:val="28"/>
        </w:rPr>
        <w:t xml:space="preserve"> </w:t>
      </w:r>
      <w:r w:rsidR="00AC6CB4">
        <w:rPr>
          <w:sz w:val="28"/>
          <w:szCs w:val="28"/>
        </w:rPr>
        <w:t>–</w:t>
      </w:r>
      <w:r w:rsidR="00F43E7F">
        <w:rPr>
          <w:sz w:val="28"/>
          <w:szCs w:val="28"/>
        </w:rPr>
        <w:t xml:space="preserve"> </w:t>
      </w:r>
      <w:r w:rsidR="00AC6CB4" w:rsidRPr="008D142B">
        <w:rPr>
          <w:sz w:val="28"/>
          <w:szCs w:val="28"/>
        </w:rPr>
        <w:t>Методически</w:t>
      </w:r>
      <w:r w:rsidR="00AC6CB4">
        <w:rPr>
          <w:sz w:val="28"/>
          <w:szCs w:val="28"/>
        </w:rPr>
        <w:t>е</w:t>
      </w:r>
      <w:r w:rsidR="00AC6CB4" w:rsidRPr="008D142B">
        <w:rPr>
          <w:sz w:val="28"/>
          <w:szCs w:val="28"/>
        </w:rPr>
        <w:t xml:space="preserve"> рекомендации</w:t>
      </w:r>
      <w:r w:rsidR="00AC6CB4">
        <w:rPr>
          <w:sz w:val="28"/>
          <w:szCs w:val="28"/>
        </w:rPr>
        <w:t>)</w:t>
      </w:r>
      <w:r w:rsidRPr="007C5ED2">
        <w:rPr>
          <w:sz w:val="28"/>
          <w:szCs w:val="28"/>
        </w:rPr>
        <w:t>.</w:t>
      </w:r>
    </w:p>
    <w:p w:rsidR="00667391" w:rsidRDefault="00667391" w:rsidP="008A0769">
      <w:pPr>
        <w:pStyle w:val="20"/>
        <w:numPr>
          <w:ilvl w:val="0"/>
          <w:numId w:val="1"/>
        </w:numPr>
        <w:shd w:val="clear" w:color="auto" w:fill="auto"/>
        <w:tabs>
          <w:tab w:val="left" w:pos="989"/>
        </w:tabs>
        <w:spacing w:before="0" w:after="0" w:line="240" w:lineRule="auto"/>
        <w:ind w:firstLine="709"/>
        <w:rPr>
          <w:sz w:val="28"/>
          <w:szCs w:val="28"/>
        </w:rPr>
      </w:pPr>
      <w:r w:rsidRPr="00CC694B">
        <w:rPr>
          <w:sz w:val="28"/>
          <w:szCs w:val="28"/>
        </w:rPr>
        <w:t>Объявить Фонд по управлению государственным имуществом при Правительстве Кыргызской Республики уполномоченным государственным органом по своду информации о среднерыночной стоимости государственных основных фондов Кыргызской Республики.</w:t>
      </w:r>
    </w:p>
    <w:p w:rsidR="00667391" w:rsidRDefault="00667391" w:rsidP="008A0769">
      <w:pPr>
        <w:pStyle w:val="20"/>
        <w:numPr>
          <w:ilvl w:val="0"/>
          <w:numId w:val="1"/>
        </w:numPr>
        <w:shd w:val="clear" w:color="auto" w:fill="auto"/>
        <w:tabs>
          <w:tab w:val="left" w:pos="989"/>
        </w:tabs>
        <w:spacing w:before="0" w:after="0" w:line="240" w:lineRule="auto"/>
        <w:ind w:firstLine="709"/>
        <w:rPr>
          <w:sz w:val="28"/>
          <w:szCs w:val="28"/>
        </w:rPr>
      </w:pPr>
      <w:r w:rsidRPr="00CC694B">
        <w:rPr>
          <w:sz w:val="28"/>
          <w:szCs w:val="28"/>
        </w:rPr>
        <w:t>Всем государственным органам исполнительной власти Кыргызской Республики:</w:t>
      </w:r>
    </w:p>
    <w:p w:rsidR="008D142B" w:rsidRDefault="00667391" w:rsidP="008A0769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8D142B">
        <w:rPr>
          <w:sz w:val="28"/>
          <w:szCs w:val="28"/>
        </w:rPr>
        <w:t xml:space="preserve">провести </w:t>
      </w:r>
      <w:r w:rsidR="00AC6CB4">
        <w:rPr>
          <w:sz w:val="28"/>
          <w:szCs w:val="28"/>
        </w:rPr>
        <w:t xml:space="preserve">первичную </w:t>
      </w:r>
      <w:r w:rsidRPr="008D142B">
        <w:rPr>
          <w:sz w:val="28"/>
          <w:szCs w:val="28"/>
        </w:rPr>
        <w:t xml:space="preserve">предварительную переоценку для определения среднерыночной стоимости основных фондов </w:t>
      </w:r>
      <w:r w:rsidR="00AC6CB4">
        <w:rPr>
          <w:sz w:val="28"/>
          <w:szCs w:val="28"/>
        </w:rPr>
        <w:t xml:space="preserve">до </w:t>
      </w:r>
      <w:r w:rsidR="00AC6CB4" w:rsidRPr="00015139">
        <w:rPr>
          <w:spacing w:val="-2"/>
          <w:sz w:val="28"/>
          <w:szCs w:val="28"/>
        </w:rPr>
        <w:t xml:space="preserve">1 мая </w:t>
      </w:r>
      <w:r w:rsidR="00AC6CB4">
        <w:rPr>
          <w:spacing w:val="-2"/>
          <w:sz w:val="28"/>
          <w:szCs w:val="28"/>
        </w:rPr>
        <w:t xml:space="preserve">2018 </w:t>
      </w:r>
      <w:r w:rsidR="00AC6CB4" w:rsidRPr="00015139">
        <w:rPr>
          <w:spacing w:val="-2"/>
          <w:sz w:val="28"/>
          <w:szCs w:val="28"/>
        </w:rPr>
        <w:t>года</w:t>
      </w:r>
      <w:r w:rsidR="00D92A21">
        <w:rPr>
          <w:spacing w:val="-2"/>
          <w:sz w:val="28"/>
          <w:szCs w:val="28"/>
        </w:rPr>
        <w:t xml:space="preserve"> </w:t>
      </w:r>
      <w:r w:rsidRPr="008D142B">
        <w:rPr>
          <w:sz w:val="28"/>
          <w:szCs w:val="28"/>
        </w:rPr>
        <w:t>в соответствии с Методическими рекомендациями, указанными в пункте 1 настоящего приказа;</w:t>
      </w:r>
    </w:p>
    <w:p w:rsidR="00667391" w:rsidRDefault="00667391" w:rsidP="00842EE3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7C5ED2">
        <w:rPr>
          <w:sz w:val="28"/>
          <w:szCs w:val="28"/>
        </w:rPr>
        <w:t xml:space="preserve">направить результаты предварительной переоценки в уполномоченный орган по своду информации о среднерыночной стоимости государственных основных фондов Кыргызской Республики, </w:t>
      </w:r>
      <w:r w:rsidR="007C5ED2" w:rsidRPr="007C5ED2">
        <w:rPr>
          <w:sz w:val="28"/>
          <w:szCs w:val="28"/>
        </w:rPr>
        <w:t>путём</w:t>
      </w:r>
      <w:r w:rsidRPr="007C5ED2">
        <w:rPr>
          <w:sz w:val="28"/>
          <w:szCs w:val="28"/>
        </w:rPr>
        <w:t xml:space="preserve"> введения</w:t>
      </w:r>
      <w:r w:rsidR="007C5ED2">
        <w:rPr>
          <w:sz w:val="28"/>
          <w:szCs w:val="28"/>
        </w:rPr>
        <w:t xml:space="preserve"> </w:t>
      </w:r>
      <w:r w:rsidRPr="007C5ED2">
        <w:rPr>
          <w:sz w:val="28"/>
          <w:szCs w:val="28"/>
        </w:rPr>
        <w:t xml:space="preserve">данных в </w:t>
      </w:r>
      <w:r w:rsidR="007C5ED2" w:rsidRPr="007C5ED2">
        <w:rPr>
          <w:sz w:val="28"/>
          <w:szCs w:val="28"/>
        </w:rPr>
        <w:t>определённые</w:t>
      </w:r>
      <w:r w:rsidRPr="007C5ED2">
        <w:rPr>
          <w:sz w:val="28"/>
          <w:szCs w:val="28"/>
        </w:rPr>
        <w:t xml:space="preserve"> поля в соответствующих формах по видам основных фондов Межведомственной автоматизированной информационной системы «Единый реестр государственного имущества </w:t>
      </w:r>
      <w:r w:rsidRPr="007C5ED2">
        <w:rPr>
          <w:sz w:val="28"/>
          <w:szCs w:val="28"/>
        </w:rPr>
        <w:lastRenderedPageBreak/>
        <w:t xml:space="preserve">Кыргызской </w:t>
      </w:r>
      <w:r w:rsidR="00F43E7F">
        <w:rPr>
          <w:sz w:val="28"/>
          <w:szCs w:val="28"/>
        </w:rPr>
        <w:t>Республики» (далее – МАИС ЕРГИ);</w:t>
      </w:r>
    </w:p>
    <w:p w:rsidR="00667391" w:rsidRDefault="00667391" w:rsidP="008A0769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pacing w:val="-2"/>
          <w:sz w:val="28"/>
          <w:szCs w:val="28"/>
        </w:rPr>
      </w:pPr>
      <w:r w:rsidRPr="00015139">
        <w:rPr>
          <w:spacing w:val="-2"/>
          <w:sz w:val="28"/>
          <w:szCs w:val="28"/>
        </w:rPr>
        <w:t xml:space="preserve">проводить раз в три года предварительную переоценку для определения среднерыночной стоимости основных фондов и результаты вводить в МАИС ЕРГИ не позднее 1 мая года, следующего за </w:t>
      </w:r>
      <w:r w:rsidR="007C5ED2" w:rsidRPr="00015139">
        <w:rPr>
          <w:spacing w:val="-2"/>
          <w:sz w:val="28"/>
          <w:szCs w:val="28"/>
        </w:rPr>
        <w:t>отчётным</w:t>
      </w:r>
      <w:r w:rsidR="00015139" w:rsidRPr="00015139">
        <w:rPr>
          <w:spacing w:val="-2"/>
          <w:sz w:val="28"/>
          <w:szCs w:val="28"/>
        </w:rPr>
        <w:t xml:space="preserve"> годом</w:t>
      </w:r>
      <w:r w:rsidRPr="00015139">
        <w:rPr>
          <w:spacing w:val="-2"/>
          <w:sz w:val="28"/>
          <w:szCs w:val="28"/>
        </w:rPr>
        <w:t>;</w:t>
      </w:r>
    </w:p>
    <w:p w:rsidR="00667391" w:rsidRDefault="00667391" w:rsidP="008A0769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F43E7F">
        <w:rPr>
          <w:spacing w:val="-2"/>
          <w:sz w:val="28"/>
          <w:szCs w:val="28"/>
        </w:rPr>
        <w:t>возложить</w:t>
      </w:r>
      <w:r w:rsidRPr="00CC694B">
        <w:rPr>
          <w:sz w:val="28"/>
          <w:szCs w:val="28"/>
        </w:rPr>
        <w:t xml:space="preserve"> персональную ответственность на руководителей министерств, государственных комитетов, административных ведомств, местных государственных администраций, государственных предприятий, учреждений и организаций за качество, своевременность и достоверность результатов предварительной переоценки, за создание необходимых условий для проведения соответствующих работ.</w:t>
      </w:r>
    </w:p>
    <w:p w:rsidR="00667391" w:rsidRDefault="00667391" w:rsidP="008A0769">
      <w:pPr>
        <w:pStyle w:val="20"/>
        <w:numPr>
          <w:ilvl w:val="0"/>
          <w:numId w:val="1"/>
        </w:numPr>
        <w:shd w:val="clear" w:color="auto" w:fill="auto"/>
        <w:tabs>
          <w:tab w:val="left" w:pos="989"/>
        </w:tabs>
        <w:spacing w:before="0" w:after="0" w:line="240" w:lineRule="auto"/>
        <w:ind w:firstLine="709"/>
        <w:rPr>
          <w:sz w:val="28"/>
          <w:szCs w:val="28"/>
        </w:rPr>
      </w:pPr>
      <w:r w:rsidRPr="00CC694B">
        <w:rPr>
          <w:sz w:val="28"/>
          <w:szCs w:val="28"/>
        </w:rPr>
        <w:t xml:space="preserve">Отделу документационного обеспечения и контроля исполнения Фонда по управлению государственным имуществом при Правительстве Кыргызской Республики зарегистрировать настоящий приказ посредством внесения записи в журнал о регистрации нормативных правовых актов и в электронную базу данных в течение </w:t>
      </w:r>
      <w:r w:rsidR="003F1DC3" w:rsidRPr="00CC694B">
        <w:rPr>
          <w:sz w:val="28"/>
          <w:szCs w:val="28"/>
        </w:rPr>
        <w:t>трёх</w:t>
      </w:r>
      <w:r w:rsidRPr="00CC694B">
        <w:rPr>
          <w:sz w:val="28"/>
          <w:szCs w:val="28"/>
        </w:rPr>
        <w:t xml:space="preserve"> рабочих дней со дня их принятия.</w:t>
      </w:r>
    </w:p>
    <w:p w:rsidR="00667391" w:rsidRDefault="00BD1DC1" w:rsidP="008A0769">
      <w:pPr>
        <w:pStyle w:val="20"/>
        <w:numPr>
          <w:ilvl w:val="0"/>
          <w:numId w:val="1"/>
        </w:numPr>
        <w:shd w:val="clear" w:color="auto" w:fill="auto"/>
        <w:tabs>
          <w:tab w:val="left" w:pos="989"/>
        </w:tabs>
        <w:spacing w:before="0" w:after="0" w:line="240" w:lineRule="auto"/>
        <w:ind w:firstLine="709"/>
        <w:rPr>
          <w:sz w:val="28"/>
          <w:szCs w:val="28"/>
        </w:rPr>
      </w:pPr>
      <w:r w:rsidRPr="00A5628A">
        <w:rPr>
          <w:sz w:val="28"/>
          <w:szCs w:val="28"/>
        </w:rPr>
        <w:t xml:space="preserve">Пресс-службе Фонда по управлению </w:t>
      </w:r>
      <w:r w:rsidR="00667391" w:rsidRPr="00A5628A">
        <w:rPr>
          <w:sz w:val="28"/>
          <w:szCs w:val="28"/>
        </w:rPr>
        <w:t>государственным</w:t>
      </w:r>
      <w:r w:rsidR="00A5628A">
        <w:rPr>
          <w:sz w:val="28"/>
          <w:szCs w:val="28"/>
        </w:rPr>
        <w:t xml:space="preserve"> </w:t>
      </w:r>
      <w:r w:rsidR="00667391" w:rsidRPr="00A5628A">
        <w:rPr>
          <w:sz w:val="28"/>
          <w:szCs w:val="28"/>
        </w:rPr>
        <w:t>имуществом при Правительстве Кыргызской Республики в течение трёх рабочих дней со дня регистрации опубликовать настоящий приказ на государственном и офи</w:t>
      </w:r>
      <w:r w:rsidR="003F1DC3">
        <w:rPr>
          <w:sz w:val="28"/>
          <w:szCs w:val="28"/>
        </w:rPr>
        <w:t>циальном языках в газете «Эркин-</w:t>
      </w:r>
      <w:r w:rsidR="00667391" w:rsidRPr="00A5628A">
        <w:rPr>
          <w:sz w:val="28"/>
          <w:szCs w:val="28"/>
        </w:rPr>
        <w:t>Тоо» и на официальных веб-сайтах Правительства Кыргызской Республики и Фонда по управлению государственным имуществом при Правительстве Кыргызской Республики.</w:t>
      </w:r>
    </w:p>
    <w:p w:rsidR="00667391" w:rsidRPr="00BD1DC1" w:rsidRDefault="00BD1DC1" w:rsidP="008A0769">
      <w:pPr>
        <w:pStyle w:val="20"/>
        <w:numPr>
          <w:ilvl w:val="0"/>
          <w:numId w:val="1"/>
        </w:numPr>
        <w:shd w:val="clear" w:color="auto" w:fill="auto"/>
        <w:tabs>
          <w:tab w:val="left" w:pos="989"/>
        </w:tabs>
        <w:spacing w:before="0" w:after="0" w:line="240" w:lineRule="auto"/>
        <w:ind w:firstLine="709"/>
        <w:rPr>
          <w:sz w:val="28"/>
          <w:szCs w:val="28"/>
        </w:rPr>
      </w:pPr>
      <w:r w:rsidRPr="00BD1DC1">
        <w:rPr>
          <w:sz w:val="28"/>
          <w:szCs w:val="28"/>
        </w:rPr>
        <w:t xml:space="preserve">Юридическому управлению Фонда </w:t>
      </w:r>
      <w:r w:rsidR="00667391" w:rsidRPr="00BD1DC1">
        <w:rPr>
          <w:sz w:val="28"/>
          <w:szCs w:val="28"/>
        </w:rPr>
        <w:t>по управлению</w:t>
      </w:r>
      <w:r>
        <w:rPr>
          <w:sz w:val="28"/>
          <w:szCs w:val="28"/>
        </w:rPr>
        <w:t xml:space="preserve"> </w:t>
      </w:r>
      <w:r w:rsidR="00667391" w:rsidRPr="00BD1DC1">
        <w:rPr>
          <w:sz w:val="28"/>
          <w:szCs w:val="28"/>
        </w:rPr>
        <w:t>государственным имуществом при Правительстве Кыргызской Республики:</w:t>
      </w:r>
    </w:p>
    <w:p w:rsidR="00667391" w:rsidRPr="00CC694B" w:rsidRDefault="003F1DC3" w:rsidP="008A0769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="008A0769">
        <w:rPr>
          <w:sz w:val="28"/>
          <w:szCs w:val="28"/>
        </w:rPr>
        <w:t xml:space="preserve"> </w:t>
      </w:r>
      <w:r w:rsidR="00667391" w:rsidRPr="00CC694B">
        <w:rPr>
          <w:sz w:val="28"/>
          <w:szCs w:val="28"/>
        </w:rPr>
        <w:t>в течение трёх рабочих дней со дня официального опубликования направить настоящий приказ в Министерство юстиции Кыргызской Республики для государственной регистрации;</w:t>
      </w:r>
    </w:p>
    <w:p w:rsidR="00667391" w:rsidRDefault="003F1DC3" w:rsidP="008A0769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–</w:t>
      </w:r>
      <w:r w:rsidR="008A0769">
        <w:rPr>
          <w:sz w:val="28"/>
          <w:szCs w:val="28"/>
        </w:rPr>
        <w:t xml:space="preserve">  </w:t>
      </w:r>
      <w:r w:rsidR="00667391" w:rsidRPr="00CC694B">
        <w:rPr>
          <w:sz w:val="28"/>
          <w:szCs w:val="28"/>
        </w:rPr>
        <w:t>в течение трёх рабочих дней со дня вступления в силу направить настоящий приказ в Аппарат Правительства Кыргызской Республики.</w:t>
      </w:r>
    </w:p>
    <w:p w:rsidR="00667391" w:rsidRDefault="00667391" w:rsidP="008A0769">
      <w:pPr>
        <w:pStyle w:val="20"/>
        <w:numPr>
          <w:ilvl w:val="0"/>
          <w:numId w:val="1"/>
        </w:numPr>
        <w:shd w:val="clear" w:color="auto" w:fill="auto"/>
        <w:tabs>
          <w:tab w:val="left" w:pos="989"/>
        </w:tabs>
        <w:spacing w:before="0" w:after="0" w:line="240" w:lineRule="auto"/>
        <w:ind w:firstLine="709"/>
        <w:rPr>
          <w:sz w:val="28"/>
          <w:szCs w:val="28"/>
        </w:rPr>
      </w:pPr>
      <w:r w:rsidRPr="00CC694B">
        <w:rPr>
          <w:sz w:val="28"/>
          <w:szCs w:val="28"/>
        </w:rPr>
        <w:t>Настоящий приказ вступает в силу со дня официального опубликования.</w:t>
      </w:r>
    </w:p>
    <w:p w:rsidR="00667391" w:rsidRPr="00CC694B" w:rsidRDefault="00667391" w:rsidP="008A0769">
      <w:pPr>
        <w:pStyle w:val="20"/>
        <w:numPr>
          <w:ilvl w:val="0"/>
          <w:numId w:val="1"/>
        </w:numPr>
        <w:shd w:val="clear" w:color="auto" w:fill="auto"/>
        <w:tabs>
          <w:tab w:val="left" w:pos="989"/>
        </w:tabs>
        <w:spacing w:before="0" w:after="0" w:line="240" w:lineRule="auto"/>
        <w:ind w:firstLine="709"/>
        <w:rPr>
          <w:sz w:val="28"/>
          <w:szCs w:val="28"/>
        </w:rPr>
      </w:pPr>
      <w:r w:rsidRPr="00CC694B">
        <w:rPr>
          <w:sz w:val="28"/>
          <w:szCs w:val="28"/>
        </w:rPr>
        <w:t>Контроль над исполнением настоящего приказа оставляю за собой.</w:t>
      </w:r>
    </w:p>
    <w:p w:rsidR="00667391" w:rsidRDefault="00667391"/>
    <w:p w:rsidR="00CC3881" w:rsidRDefault="00CC3881"/>
    <w:p w:rsidR="00CC3881" w:rsidRDefault="00CC3881"/>
    <w:p w:rsidR="00667391" w:rsidRPr="00CC694B" w:rsidRDefault="00667391" w:rsidP="00667391">
      <w:pPr>
        <w:pStyle w:val="12"/>
        <w:shd w:val="clear" w:color="auto" w:fill="auto"/>
        <w:spacing w:line="326" w:lineRule="exact"/>
        <w:ind w:right="4760"/>
        <w:jc w:val="left"/>
        <w:rPr>
          <w:sz w:val="28"/>
          <w:szCs w:val="28"/>
        </w:rPr>
      </w:pPr>
      <w:bookmarkStart w:id="2" w:name="bookmark1"/>
      <w:r w:rsidRPr="00CC694B">
        <w:rPr>
          <w:sz w:val="28"/>
          <w:szCs w:val="28"/>
        </w:rPr>
        <w:t>Председатель Фонда по управлению государственным имуществом при Правительстве</w:t>
      </w:r>
      <w:bookmarkEnd w:id="2"/>
    </w:p>
    <w:p w:rsidR="00667391" w:rsidRPr="00CC694B" w:rsidRDefault="00667391" w:rsidP="00667391">
      <w:pPr>
        <w:pStyle w:val="12"/>
        <w:shd w:val="clear" w:color="auto" w:fill="auto"/>
        <w:tabs>
          <w:tab w:val="left" w:pos="7397"/>
        </w:tabs>
        <w:spacing w:line="326" w:lineRule="exact"/>
        <w:jc w:val="both"/>
        <w:rPr>
          <w:sz w:val="28"/>
          <w:szCs w:val="28"/>
        </w:rPr>
      </w:pPr>
      <w:bookmarkStart w:id="3" w:name="bookmark2"/>
      <w:r w:rsidRPr="00CC694B">
        <w:rPr>
          <w:sz w:val="28"/>
          <w:szCs w:val="28"/>
        </w:rPr>
        <w:t>Кыргызской Республики</w:t>
      </w:r>
      <w:r w:rsidRPr="00CC694B">
        <w:rPr>
          <w:sz w:val="28"/>
          <w:szCs w:val="28"/>
        </w:rPr>
        <w:tab/>
        <w:t>Б.К. Казаков</w:t>
      </w:r>
      <w:bookmarkEnd w:id="3"/>
    </w:p>
    <w:p w:rsidR="00667391" w:rsidRDefault="00667391"/>
    <w:p w:rsidR="007C5ED2" w:rsidRDefault="007C5ED2"/>
    <w:p w:rsidR="00D92A21" w:rsidRDefault="00D92A21"/>
    <w:p w:rsidR="00D92A21" w:rsidRDefault="00D92A21"/>
    <w:p w:rsidR="00D92A21" w:rsidRDefault="00D92A21"/>
    <w:p w:rsidR="00667391" w:rsidRDefault="00842EE3" w:rsidP="00842EE3">
      <w:pPr>
        <w:spacing w:after="400"/>
        <w:jc w:val="right"/>
      </w:pPr>
      <w:r>
        <w:t>Приложение</w:t>
      </w:r>
    </w:p>
    <w:p w:rsidR="00667391" w:rsidRPr="00CC694B" w:rsidRDefault="00667391" w:rsidP="00842EE3">
      <w:pPr>
        <w:pStyle w:val="30"/>
        <w:shd w:val="clear" w:color="auto" w:fill="auto"/>
        <w:spacing w:after="240" w:line="240" w:lineRule="auto"/>
        <w:ind w:right="20"/>
        <w:jc w:val="center"/>
        <w:rPr>
          <w:sz w:val="28"/>
          <w:szCs w:val="28"/>
        </w:rPr>
      </w:pPr>
      <w:r w:rsidRPr="00CC694B">
        <w:rPr>
          <w:sz w:val="28"/>
          <w:szCs w:val="28"/>
        </w:rPr>
        <w:t>Методические рекомендации</w:t>
      </w:r>
      <w:r w:rsidRPr="00CC694B">
        <w:rPr>
          <w:sz w:val="28"/>
          <w:szCs w:val="28"/>
        </w:rPr>
        <w:br/>
        <w:t>по определению среднерыночной стоимости</w:t>
      </w:r>
      <w:r w:rsidRPr="00CC694B">
        <w:rPr>
          <w:sz w:val="28"/>
          <w:szCs w:val="28"/>
        </w:rPr>
        <w:br/>
        <w:t>государственных основных фондов в Кыргызской Республике</w:t>
      </w:r>
    </w:p>
    <w:p w:rsidR="00667391" w:rsidRDefault="00667391" w:rsidP="00CC3881">
      <w:pPr>
        <w:pStyle w:val="12"/>
        <w:numPr>
          <w:ilvl w:val="0"/>
          <w:numId w:val="4"/>
        </w:numPr>
        <w:shd w:val="clear" w:color="auto" w:fill="auto"/>
        <w:tabs>
          <w:tab w:val="left" w:pos="3750"/>
        </w:tabs>
        <w:spacing w:line="240" w:lineRule="auto"/>
        <w:ind w:left="3400"/>
        <w:jc w:val="both"/>
        <w:rPr>
          <w:sz w:val="28"/>
          <w:szCs w:val="28"/>
        </w:rPr>
      </w:pPr>
      <w:bookmarkStart w:id="4" w:name="bookmark3"/>
      <w:r w:rsidRPr="00CC694B">
        <w:rPr>
          <w:sz w:val="28"/>
          <w:szCs w:val="28"/>
        </w:rPr>
        <w:t>Общие положения</w:t>
      </w:r>
      <w:bookmarkEnd w:id="4"/>
    </w:p>
    <w:p w:rsidR="00B36E75" w:rsidRPr="00B36E75" w:rsidRDefault="00B36E75" w:rsidP="00CC3881">
      <w:pPr>
        <w:pStyle w:val="12"/>
        <w:shd w:val="clear" w:color="auto" w:fill="auto"/>
        <w:tabs>
          <w:tab w:val="left" w:pos="3750"/>
        </w:tabs>
        <w:spacing w:line="240" w:lineRule="auto"/>
        <w:ind w:left="3400"/>
        <w:jc w:val="both"/>
        <w:rPr>
          <w:sz w:val="16"/>
          <w:szCs w:val="16"/>
        </w:rPr>
      </w:pPr>
    </w:p>
    <w:p w:rsidR="00667391" w:rsidRPr="00CC694B" w:rsidRDefault="00667391" w:rsidP="00842EE3">
      <w:pPr>
        <w:pStyle w:val="20"/>
        <w:numPr>
          <w:ilvl w:val="0"/>
          <w:numId w:val="5"/>
        </w:numPr>
        <w:shd w:val="clear" w:color="auto" w:fill="auto"/>
        <w:tabs>
          <w:tab w:val="left" w:pos="859"/>
        </w:tabs>
        <w:spacing w:before="0" w:after="0" w:line="240" w:lineRule="auto"/>
        <w:ind w:firstLine="709"/>
        <w:rPr>
          <w:sz w:val="28"/>
          <w:szCs w:val="28"/>
        </w:rPr>
      </w:pPr>
      <w:r w:rsidRPr="00CC694B">
        <w:rPr>
          <w:sz w:val="28"/>
          <w:szCs w:val="28"/>
        </w:rPr>
        <w:t>Методические рекомендации по определению среднерыночной стоимости основных фондов в Кыргызской Республике являются единым методическим пособием по предварительной переоценке государственного имущества (основных фондов) на территории Кыргызской Республики</w:t>
      </w:r>
      <w:r w:rsidR="00045562">
        <w:rPr>
          <w:sz w:val="28"/>
          <w:szCs w:val="28"/>
        </w:rPr>
        <w:br/>
        <w:t>(далее – Методические рекомендации)</w:t>
      </w:r>
      <w:r w:rsidRPr="00CC694B">
        <w:rPr>
          <w:sz w:val="28"/>
          <w:szCs w:val="28"/>
        </w:rPr>
        <w:t>.</w:t>
      </w:r>
    </w:p>
    <w:p w:rsidR="00667391" w:rsidRPr="00CC694B" w:rsidRDefault="00667391" w:rsidP="00842EE3">
      <w:pPr>
        <w:pStyle w:val="20"/>
        <w:numPr>
          <w:ilvl w:val="0"/>
          <w:numId w:val="5"/>
        </w:numPr>
        <w:shd w:val="clear" w:color="auto" w:fill="auto"/>
        <w:tabs>
          <w:tab w:val="left" w:pos="859"/>
        </w:tabs>
        <w:spacing w:before="0" w:after="0"/>
        <w:ind w:firstLine="709"/>
        <w:rPr>
          <w:sz w:val="28"/>
          <w:szCs w:val="28"/>
        </w:rPr>
      </w:pPr>
      <w:r w:rsidRPr="00CC694B">
        <w:rPr>
          <w:sz w:val="28"/>
          <w:szCs w:val="28"/>
        </w:rPr>
        <w:t>Настоящие Методические рекомендации применяются для целей функционирования МАИС ЕРГИ.</w:t>
      </w:r>
    </w:p>
    <w:p w:rsidR="00667391" w:rsidRDefault="00667391" w:rsidP="00842EE3">
      <w:pPr>
        <w:pStyle w:val="20"/>
        <w:shd w:val="clear" w:color="auto" w:fill="auto"/>
        <w:tabs>
          <w:tab w:val="left" w:pos="2587"/>
          <w:tab w:val="left" w:pos="4344"/>
          <w:tab w:val="left" w:pos="6595"/>
        </w:tabs>
        <w:spacing w:before="0" w:after="0"/>
        <w:ind w:firstLine="709"/>
        <w:rPr>
          <w:sz w:val="28"/>
          <w:szCs w:val="28"/>
        </w:rPr>
      </w:pPr>
      <w:r w:rsidRPr="00CC694B">
        <w:rPr>
          <w:sz w:val="28"/>
          <w:szCs w:val="28"/>
        </w:rPr>
        <w:t xml:space="preserve">Информация о среднерыночной стоимости основных фондов, </w:t>
      </w:r>
      <w:r w:rsidR="006350AC" w:rsidRPr="00CC694B">
        <w:rPr>
          <w:sz w:val="28"/>
          <w:szCs w:val="28"/>
        </w:rPr>
        <w:t>определённая</w:t>
      </w:r>
      <w:r w:rsidRPr="00CC694B">
        <w:rPr>
          <w:sz w:val="28"/>
          <w:szCs w:val="28"/>
        </w:rPr>
        <w:t xml:space="preserve"> в соответствии с настоящими Методическими рекомендациями, носит информативный характер и не может быть использована при составлении финансовой и бухгалтерской </w:t>
      </w:r>
      <w:r w:rsidR="006350AC" w:rsidRPr="00CC694B">
        <w:rPr>
          <w:sz w:val="28"/>
          <w:szCs w:val="28"/>
        </w:rPr>
        <w:t>отчётности</w:t>
      </w:r>
      <w:r w:rsidRPr="00CC694B">
        <w:rPr>
          <w:sz w:val="28"/>
          <w:szCs w:val="28"/>
        </w:rPr>
        <w:t>, для целей страхования, налогообложения, заключения сделок.</w:t>
      </w:r>
    </w:p>
    <w:p w:rsidR="00667391" w:rsidRDefault="00667391" w:rsidP="00842EE3">
      <w:pPr>
        <w:pStyle w:val="20"/>
        <w:shd w:val="clear" w:color="auto" w:fill="auto"/>
        <w:tabs>
          <w:tab w:val="left" w:pos="574"/>
          <w:tab w:val="left" w:pos="859"/>
        </w:tabs>
        <w:spacing w:before="0" w:after="0"/>
        <w:ind w:firstLine="709"/>
        <w:rPr>
          <w:sz w:val="28"/>
          <w:szCs w:val="28"/>
        </w:rPr>
      </w:pPr>
      <w:r w:rsidRPr="00CC694B">
        <w:rPr>
          <w:sz w:val="28"/>
          <w:szCs w:val="28"/>
        </w:rPr>
        <w:t>Среднерыночная стоимость основных фондов определяется Комиссией, образованной решением государственной организации на проведение предварительной</w:t>
      </w:r>
      <w:r w:rsidRPr="00CC694B">
        <w:rPr>
          <w:sz w:val="28"/>
          <w:szCs w:val="28"/>
        </w:rPr>
        <w:tab/>
        <w:t>переоценки</w:t>
      </w:r>
      <w:r w:rsidR="00A90BEE">
        <w:rPr>
          <w:sz w:val="28"/>
          <w:szCs w:val="28"/>
        </w:rPr>
        <w:t xml:space="preserve"> </w:t>
      </w:r>
      <w:r w:rsidRPr="00CC694B">
        <w:rPr>
          <w:sz w:val="28"/>
          <w:szCs w:val="28"/>
        </w:rPr>
        <w:tab/>
        <w:t>ведомственных</w:t>
      </w:r>
      <w:r w:rsidRPr="00CC694B">
        <w:rPr>
          <w:sz w:val="28"/>
          <w:szCs w:val="28"/>
        </w:rPr>
        <w:tab/>
        <w:t>основных фондов,</w:t>
      </w:r>
      <w:r w:rsidR="00B36E75">
        <w:rPr>
          <w:sz w:val="28"/>
          <w:szCs w:val="28"/>
        </w:rPr>
        <w:t xml:space="preserve"> </w:t>
      </w:r>
      <w:r w:rsidRPr="00CC694B">
        <w:rPr>
          <w:sz w:val="28"/>
          <w:szCs w:val="28"/>
        </w:rPr>
        <w:t>осуществляемой согласно настоящим Методическим рекомендациям.</w:t>
      </w:r>
    </w:p>
    <w:p w:rsidR="001D29C3" w:rsidRPr="001D29C3" w:rsidRDefault="001D29C3" w:rsidP="00C325B0">
      <w:pPr>
        <w:pStyle w:val="20"/>
        <w:numPr>
          <w:ilvl w:val="0"/>
          <w:numId w:val="5"/>
        </w:numPr>
        <w:shd w:val="clear" w:color="auto" w:fill="auto"/>
        <w:tabs>
          <w:tab w:val="left" w:pos="859"/>
          <w:tab w:val="left" w:pos="1134"/>
        </w:tabs>
        <w:spacing w:before="0" w:after="0"/>
        <w:ind w:firstLine="709"/>
        <w:rPr>
          <w:sz w:val="28"/>
          <w:szCs w:val="28"/>
        </w:rPr>
      </w:pPr>
      <w:r w:rsidRPr="001D29C3">
        <w:rPr>
          <w:sz w:val="28"/>
          <w:szCs w:val="28"/>
        </w:rPr>
        <w:t>В настоящих Методических рекомендациях применяются следующие основные термины, понятия и их определения:</w:t>
      </w:r>
    </w:p>
    <w:p w:rsidR="001D29C3" w:rsidRPr="001D29C3" w:rsidRDefault="001D29C3" w:rsidP="00842EE3">
      <w:pPr>
        <w:pStyle w:val="20"/>
        <w:shd w:val="clear" w:color="auto" w:fill="auto"/>
        <w:tabs>
          <w:tab w:val="left" w:pos="574"/>
          <w:tab w:val="left" w:pos="859"/>
        </w:tabs>
        <w:spacing w:before="0" w:after="0"/>
        <w:ind w:firstLine="709"/>
        <w:rPr>
          <w:sz w:val="28"/>
          <w:szCs w:val="28"/>
        </w:rPr>
      </w:pPr>
      <w:r w:rsidRPr="001D29C3">
        <w:rPr>
          <w:b/>
          <w:sz w:val="28"/>
          <w:szCs w:val="28"/>
        </w:rPr>
        <w:t>Государственная организация</w:t>
      </w:r>
      <w:r w:rsidRPr="001D29C3">
        <w:rPr>
          <w:sz w:val="28"/>
          <w:szCs w:val="28"/>
        </w:rPr>
        <w:t xml:space="preserve"> — государственный орган, учреждение с государственной формой собственности, государственное предприятие или любое другое юридическое лицо с государственной формой собственности, которое имеет в хозяйственном ведении или оперативном управлении государственное имущество</w:t>
      </w:r>
    </w:p>
    <w:p w:rsidR="001D29C3" w:rsidRPr="002914D7" w:rsidRDefault="001D29C3" w:rsidP="00842EE3">
      <w:pPr>
        <w:pStyle w:val="20"/>
        <w:shd w:val="clear" w:color="auto" w:fill="auto"/>
        <w:tabs>
          <w:tab w:val="left" w:pos="574"/>
          <w:tab w:val="left" w:pos="859"/>
        </w:tabs>
        <w:spacing w:before="0" w:after="0"/>
        <w:ind w:firstLine="709"/>
        <w:rPr>
          <w:sz w:val="28"/>
          <w:szCs w:val="28"/>
        </w:rPr>
      </w:pPr>
      <w:r w:rsidRPr="002914D7">
        <w:rPr>
          <w:b/>
          <w:sz w:val="28"/>
          <w:szCs w:val="28"/>
        </w:rPr>
        <w:t>Компетентное лицо</w:t>
      </w:r>
      <w:r w:rsidRPr="002914D7">
        <w:rPr>
          <w:sz w:val="28"/>
          <w:szCs w:val="28"/>
        </w:rPr>
        <w:t xml:space="preserve"> — специалист знающий, осведомлённый, авторитетный, обладающий компетенцией и правомочностью в какой-нибудь области.</w:t>
      </w:r>
    </w:p>
    <w:p w:rsidR="001D29C3" w:rsidRPr="001D29C3" w:rsidRDefault="001D29C3" w:rsidP="00842EE3">
      <w:pPr>
        <w:pStyle w:val="20"/>
        <w:shd w:val="clear" w:color="auto" w:fill="auto"/>
        <w:tabs>
          <w:tab w:val="left" w:pos="574"/>
          <w:tab w:val="left" w:pos="859"/>
        </w:tabs>
        <w:spacing w:before="0" w:after="0"/>
        <w:ind w:firstLine="709"/>
        <w:rPr>
          <w:sz w:val="28"/>
          <w:szCs w:val="28"/>
        </w:rPr>
      </w:pPr>
      <w:r w:rsidRPr="001D29C3">
        <w:rPr>
          <w:b/>
          <w:sz w:val="28"/>
          <w:szCs w:val="28"/>
        </w:rPr>
        <w:t>Консультант</w:t>
      </w:r>
      <w:r w:rsidRPr="001D29C3">
        <w:rPr>
          <w:sz w:val="28"/>
          <w:szCs w:val="28"/>
        </w:rPr>
        <w:t xml:space="preserve"> — лицо, дающее консультации по вопросам своей специальности.</w:t>
      </w:r>
    </w:p>
    <w:p w:rsidR="001D29C3" w:rsidRPr="001D29C3" w:rsidRDefault="001D29C3" w:rsidP="00842EE3">
      <w:pPr>
        <w:pStyle w:val="20"/>
        <w:shd w:val="clear" w:color="auto" w:fill="auto"/>
        <w:tabs>
          <w:tab w:val="left" w:pos="574"/>
          <w:tab w:val="left" w:pos="859"/>
        </w:tabs>
        <w:spacing w:before="0" w:after="0"/>
        <w:ind w:firstLine="709"/>
        <w:rPr>
          <w:sz w:val="28"/>
          <w:szCs w:val="28"/>
        </w:rPr>
      </w:pPr>
      <w:r w:rsidRPr="001D29C3">
        <w:rPr>
          <w:b/>
          <w:sz w:val="28"/>
          <w:szCs w:val="28"/>
        </w:rPr>
        <w:t>МАИС ЕРГИ</w:t>
      </w:r>
      <w:r w:rsidRPr="001D29C3">
        <w:rPr>
          <w:sz w:val="28"/>
          <w:szCs w:val="28"/>
        </w:rPr>
        <w:t xml:space="preserve"> — межведомственная автоматизированная информационная система «Единый реестр государственного имущества», утверждённая распоряжением Прав</w:t>
      </w:r>
      <w:r w:rsidR="006350AC">
        <w:rPr>
          <w:sz w:val="28"/>
          <w:szCs w:val="28"/>
        </w:rPr>
        <w:t>ительства Кыргызской Республики</w:t>
      </w:r>
      <w:r w:rsidR="006350AC">
        <w:rPr>
          <w:sz w:val="28"/>
          <w:szCs w:val="28"/>
        </w:rPr>
        <w:br/>
      </w:r>
      <w:r w:rsidRPr="001D29C3">
        <w:rPr>
          <w:sz w:val="28"/>
          <w:szCs w:val="28"/>
        </w:rPr>
        <w:t>от 18 августа 2017 года №358-р и приказом Фонда по управлению государственным имуществом при Правительстве Кыргызской Республики от 24 февраля 2017 года №1.</w:t>
      </w:r>
    </w:p>
    <w:p w:rsidR="001D29C3" w:rsidRPr="001D29C3" w:rsidRDefault="001D29C3" w:rsidP="00842EE3">
      <w:pPr>
        <w:pStyle w:val="20"/>
        <w:shd w:val="clear" w:color="auto" w:fill="auto"/>
        <w:tabs>
          <w:tab w:val="left" w:pos="574"/>
          <w:tab w:val="left" w:pos="859"/>
        </w:tabs>
        <w:spacing w:before="0" w:after="0"/>
        <w:ind w:firstLine="709"/>
        <w:rPr>
          <w:sz w:val="28"/>
          <w:szCs w:val="28"/>
        </w:rPr>
      </w:pPr>
      <w:r w:rsidRPr="001D29C3">
        <w:rPr>
          <w:b/>
          <w:sz w:val="28"/>
          <w:szCs w:val="28"/>
        </w:rPr>
        <w:t>Оценщик</w:t>
      </w:r>
      <w:r w:rsidRPr="001D29C3">
        <w:rPr>
          <w:sz w:val="28"/>
          <w:szCs w:val="28"/>
        </w:rPr>
        <w:t xml:space="preserve"> – физическое лицо, обладающее квалификацией, </w:t>
      </w:r>
      <w:r w:rsidRPr="001D29C3">
        <w:rPr>
          <w:sz w:val="28"/>
          <w:szCs w:val="28"/>
        </w:rPr>
        <w:lastRenderedPageBreak/>
        <w:t>необходимой для оказания оценочных услуг в соответствии с нормативными правовыми актами, регулирующими оценочную деятельность в Кыргызской Республике, либо юридическое лицо, зарегистрированное в установленном порядке, занимающееся оценочной деятельностью и имеющее в штате не менее одного оценщика.</w:t>
      </w:r>
    </w:p>
    <w:p w:rsidR="001D29C3" w:rsidRPr="001D29C3" w:rsidRDefault="001D29C3" w:rsidP="00842EE3">
      <w:pPr>
        <w:pStyle w:val="20"/>
        <w:shd w:val="clear" w:color="auto" w:fill="auto"/>
        <w:tabs>
          <w:tab w:val="left" w:pos="574"/>
          <w:tab w:val="left" w:pos="859"/>
        </w:tabs>
        <w:spacing w:before="0" w:after="0"/>
        <w:ind w:firstLine="709"/>
        <w:rPr>
          <w:sz w:val="28"/>
          <w:szCs w:val="28"/>
        </w:rPr>
      </w:pPr>
      <w:r w:rsidRPr="001D29C3">
        <w:rPr>
          <w:b/>
          <w:sz w:val="28"/>
          <w:szCs w:val="28"/>
        </w:rPr>
        <w:t>Представитель общественности</w:t>
      </w:r>
      <w:r w:rsidRPr="001D29C3">
        <w:rPr>
          <w:sz w:val="28"/>
          <w:szCs w:val="28"/>
        </w:rPr>
        <w:t xml:space="preserve"> — представитель неправительственной или иной некоммерческой организации, бизнес-сообщества, выражающий независимое объективное мнение гражданского сектора.</w:t>
      </w:r>
    </w:p>
    <w:p w:rsidR="001D29C3" w:rsidRPr="001D29C3" w:rsidRDefault="001D29C3" w:rsidP="00842EE3">
      <w:pPr>
        <w:pStyle w:val="20"/>
        <w:shd w:val="clear" w:color="auto" w:fill="auto"/>
        <w:tabs>
          <w:tab w:val="left" w:pos="574"/>
          <w:tab w:val="left" w:pos="859"/>
        </w:tabs>
        <w:spacing w:before="0" w:after="0"/>
        <w:ind w:firstLine="709"/>
        <w:rPr>
          <w:sz w:val="28"/>
          <w:szCs w:val="28"/>
        </w:rPr>
      </w:pPr>
      <w:r w:rsidRPr="001D29C3">
        <w:rPr>
          <w:b/>
          <w:sz w:val="28"/>
          <w:szCs w:val="28"/>
        </w:rPr>
        <w:t>Эксперт</w:t>
      </w:r>
      <w:r w:rsidRPr="001D29C3">
        <w:rPr>
          <w:sz w:val="28"/>
          <w:szCs w:val="28"/>
        </w:rPr>
        <w:t xml:space="preserve"> — </w:t>
      </w:r>
      <w:hyperlink r:id="rId7" w:tooltip="Специалист" w:history="1">
        <w:r w:rsidRPr="001D29C3">
          <w:rPr>
            <w:sz w:val="28"/>
            <w:szCs w:val="28"/>
          </w:rPr>
          <w:t>специалист</w:t>
        </w:r>
      </w:hyperlink>
      <w:r w:rsidRPr="001D29C3">
        <w:rPr>
          <w:sz w:val="28"/>
          <w:szCs w:val="28"/>
        </w:rPr>
        <w:t xml:space="preserve">, приглашаемый для выдачи квалифицированного </w:t>
      </w:r>
      <w:hyperlink r:id="rId8" w:tooltip="Заключение" w:history="1">
        <w:r w:rsidRPr="001D29C3">
          <w:rPr>
            <w:sz w:val="28"/>
            <w:szCs w:val="28"/>
          </w:rPr>
          <w:t>заключения</w:t>
        </w:r>
      </w:hyperlink>
      <w:r w:rsidRPr="001D29C3">
        <w:rPr>
          <w:sz w:val="28"/>
          <w:szCs w:val="28"/>
        </w:rPr>
        <w:t xml:space="preserve"> или </w:t>
      </w:r>
      <w:hyperlink r:id="rId9" w:tooltip="Суждение" w:history="1">
        <w:r w:rsidRPr="001D29C3">
          <w:rPr>
            <w:sz w:val="28"/>
            <w:szCs w:val="28"/>
          </w:rPr>
          <w:t>суждения</w:t>
        </w:r>
      </w:hyperlink>
      <w:r w:rsidRPr="001D29C3">
        <w:rPr>
          <w:sz w:val="28"/>
          <w:szCs w:val="28"/>
        </w:rPr>
        <w:t xml:space="preserve"> по вопросу, рассматриваемому или решаемому другими людьми, менее компетентными в этой области, то есть человек проводящий </w:t>
      </w:r>
      <w:hyperlink r:id="rId10" w:tooltip="Экспертиза" w:history="1">
        <w:r w:rsidRPr="001D29C3">
          <w:rPr>
            <w:sz w:val="28"/>
            <w:szCs w:val="28"/>
          </w:rPr>
          <w:t>экспертизу</w:t>
        </w:r>
      </w:hyperlink>
      <w:r w:rsidRPr="001D29C3">
        <w:rPr>
          <w:sz w:val="28"/>
          <w:szCs w:val="28"/>
        </w:rPr>
        <w:t>.</w:t>
      </w:r>
    </w:p>
    <w:p w:rsidR="00667391" w:rsidRPr="00CC694B" w:rsidRDefault="00667391" w:rsidP="00C325B0">
      <w:pPr>
        <w:pStyle w:val="20"/>
        <w:numPr>
          <w:ilvl w:val="0"/>
          <w:numId w:val="5"/>
        </w:numPr>
        <w:shd w:val="clear" w:color="auto" w:fill="auto"/>
        <w:tabs>
          <w:tab w:val="left" w:pos="864"/>
          <w:tab w:val="left" w:pos="1134"/>
        </w:tabs>
        <w:spacing w:before="0" w:after="0"/>
        <w:ind w:firstLine="709"/>
        <w:rPr>
          <w:sz w:val="28"/>
          <w:szCs w:val="28"/>
        </w:rPr>
      </w:pPr>
      <w:r w:rsidRPr="00CC694B">
        <w:rPr>
          <w:sz w:val="28"/>
          <w:szCs w:val="28"/>
        </w:rPr>
        <w:t>Комиссия должна состоять из не менее 5 членов, один из кото</w:t>
      </w:r>
      <w:r>
        <w:rPr>
          <w:sz w:val="28"/>
          <w:szCs w:val="28"/>
        </w:rPr>
        <w:t>рых независимый представитель</w:t>
      </w:r>
      <w:r w:rsidRPr="00CC694B">
        <w:rPr>
          <w:sz w:val="28"/>
          <w:szCs w:val="28"/>
        </w:rPr>
        <w:t xml:space="preserve"> общественности</w:t>
      </w:r>
      <w:r w:rsidR="00A30264">
        <w:rPr>
          <w:sz w:val="28"/>
          <w:szCs w:val="28"/>
        </w:rPr>
        <w:t>, осуществляющий работу</w:t>
      </w:r>
      <w:r>
        <w:rPr>
          <w:sz w:val="28"/>
          <w:szCs w:val="28"/>
        </w:rPr>
        <w:t xml:space="preserve"> на добровольных началах</w:t>
      </w:r>
      <w:r w:rsidR="002914D7">
        <w:rPr>
          <w:sz w:val="28"/>
          <w:szCs w:val="28"/>
        </w:rPr>
        <w:t xml:space="preserve"> и безвозмездной</w:t>
      </w:r>
      <w:r w:rsidR="002F2B8A">
        <w:rPr>
          <w:sz w:val="28"/>
          <w:szCs w:val="28"/>
        </w:rPr>
        <w:t xml:space="preserve"> основе</w:t>
      </w:r>
      <w:r w:rsidRPr="00CC694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Председателем Комиссии является заместитель руководителя государственной организации, </w:t>
      </w:r>
      <w:r w:rsidR="00045562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заместителем </w:t>
      </w:r>
      <w:r w:rsidR="00045562">
        <w:rPr>
          <w:sz w:val="28"/>
          <w:szCs w:val="28"/>
        </w:rPr>
        <w:t>–</w:t>
      </w:r>
      <w:r>
        <w:rPr>
          <w:sz w:val="28"/>
          <w:szCs w:val="28"/>
        </w:rPr>
        <w:t xml:space="preserve"> главный бухгалтер</w:t>
      </w:r>
      <w:r w:rsidR="00045562" w:rsidRPr="00045562">
        <w:rPr>
          <w:rFonts w:eastAsiaTheme="minorHAnsi"/>
          <w:sz w:val="28"/>
          <w:szCs w:val="28"/>
        </w:rPr>
        <w:t xml:space="preserve"> </w:t>
      </w:r>
      <w:r w:rsidR="00045562" w:rsidRPr="00045562">
        <w:rPr>
          <w:sz w:val="28"/>
          <w:szCs w:val="28"/>
        </w:rPr>
        <w:t>государственной организации</w:t>
      </w:r>
      <w:r>
        <w:rPr>
          <w:sz w:val="28"/>
          <w:szCs w:val="28"/>
        </w:rPr>
        <w:t xml:space="preserve">. </w:t>
      </w:r>
      <w:r w:rsidRPr="00CC694B">
        <w:rPr>
          <w:sz w:val="28"/>
          <w:szCs w:val="28"/>
        </w:rPr>
        <w:t>В случае если оцениваемое имущество является секретным или же информация о данном имуществе носит секретный характер, наличие независимого представителя общественности является необязательным. Комиссия вправе привлекать к работе экспертов, консультантов, оценщиков соответствующих направлений, компетентных лиц из других уполномоченных государственных органов.</w:t>
      </w:r>
    </w:p>
    <w:p w:rsidR="00667391" w:rsidRPr="00CC694B" w:rsidRDefault="00667391" w:rsidP="00842EE3">
      <w:pPr>
        <w:pStyle w:val="20"/>
        <w:shd w:val="clear" w:color="auto" w:fill="auto"/>
        <w:spacing w:before="0" w:after="0"/>
        <w:ind w:firstLine="709"/>
        <w:rPr>
          <w:sz w:val="28"/>
          <w:szCs w:val="28"/>
        </w:rPr>
      </w:pPr>
      <w:r w:rsidRPr="00CC694B">
        <w:rPr>
          <w:sz w:val="28"/>
          <w:szCs w:val="28"/>
        </w:rPr>
        <w:t>Основными задачами Комиссии являются:</w:t>
      </w:r>
    </w:p>
    <w:p w:rsidR="00667391" w:rsidRPr="00CC694B" w:rsidRDefault="009B25F8" w:rsidP="00842EE3">
      <w:pPr>
        <w:pStyle w:val="20"/>
        <w:shd w:val="clear" w:color="auto" w:fill="auto"/>
        <w:tabs>
          <w:tab w:val="left" w:pos="91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667391" w:rsidRPr="00CC694B">
        <w:rPr>
          <w:sz w:val="28"/>
          <w:szCs w:val="28"/>
        </w:rPr>
        <w:t>опре</w:t>
      </w:r>
      <w:r w:rsidR="00667391">
        <w:rPr>
          <w:sz w:val="28"/>
          <w:szCs w:val="28"/>
        </w:rPr>
        <w:t xml:space="preserve">деление используемых подходов и </w:t>
      </w:r>
      <w:r w:rsidR="00667391" w:rsidRPr="00CC694B">
        <w:rPr>
          <w:sz w:val="28"/>
          <w:szCs w:val="28"/>
        </w:rPr>
        <w:t>методов переоценки основных фондов с обоснованием;</w:t>
      </w:r>
    </w:p>
    <w:p w:rsidR="00667391" w:rsidRPr="00CC694B" w:rsidRDefault="00667391" w:rsidP="00842EE3">
      <w:pPr>
        <w:pStyle w:val="20"/>
        <w:shd w:val="clear" w:color="auto" w:fill="auto"/>
        <w:tabs>
          <w:tab w:val="left" w:pos="6595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="009B25F8">
        <w:rPr>
          <w:sz w:val="28"/>
          <w:szCs w:val="28"/>
        </w:rPr>
        <w:t xml:space="preserve"> </w:t>
      </w:r>
      <w:r w:rsidRPr="00CC694B">
        <w:rPr>
          <w:sz w:val="28"/>
          <w:szCs w:val="28"/>
        </w:rPr>
        <w:t>анализ полученной информации о переоценке основных фондов, включающий обзор и мониторинг их рыночной стоимости;</w:t>
      </w:r>
    </w:p>
    <w:p w:rsidR="00667391" w:rsidRPr="00CC694B" w:rsidRDefault="00667391" w:rsidP="00842EE3">
      <w:pPr>
        <w:pStyle w:val="20"/>
        <w:shd w:val="clear" w:color="auto" w:fill="auto"/>
        <w:tabs>
          <w:tab w:val="left" w:pos="6595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C694B">
        <w:rPr>
          <w:sz w:val="28"/>
          <w:szCs w:val="28"/>
        </w:rPr>
        <w:t>подготовка выводов и/или заключений о среднерыночной стоимости переоцениваемого государственного имущества, в которых приводится обоснование принимаемого окончательного решения.</w:t>
      </w:r>
    </w:p>
    <w:p w:rsidR="00667391" w:rsidRPr="00CC694B" w:rsidRDefault="00667391" w:rsidP="00842EE3">
      <w:pPr>
        <w:pStyle w:val="20"/>
        <w:shd w:val="clear" w:color="auto" w:fill="auto"/>
        <w:spacing w:before="0" w:after="0"/>
        <w:ind w:firstLine="709"/>
        <w:rPr>
          <w:sz w:val="28"/>
          <w:szCs w:val="28"/>
        </w:rPr>
      </w:pPr>
      <w:r w:rsidRPr="00CC694B">
        <w:rPr>
          <w:sz w:val="28"/>
          <w:szCs w:val="28"/>
        </w:rPr>
        <w:t>Результаты данных работ актируются и выносятся на заседание Комиссии. Решение Комиссии протоколируется в произвольной форме и утверждается руководителем государственной организации.</w:t>
      </w:r>
    </w:p>
    <w:p w:rsidR="00667391" w:rsidRPr="00CC694B" w:rsidRDefault="00667391" w:rsidP="00842EE3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CC694B">
        <w:rPr>
          <w:sz w:val="28"/>
          <w:szCs w:val="28"/>
        </w:rPr>
        <w:t>Результаты предварительной переоценки основных фондов направляются в уполномоченный орган по управлению государственным</w:t>
      </w:r>
      <w:r w:rsidR="00DD3E9C">
        <w:rPr>
          <w:sz w:val="28"/>
          <w:szCs w:val="28"/>
        </w:rPr>
        <w:t xml:space="preserve"> </w:t>
      </w:r>
      <w:r w:rsidRPr="00CC694B">
        <w:rPr>
          <w:sz w:val="28"/>
          <w:szCs w:val="28"/>
        </w:rPr>
        <w:t xml:space="preserve">имуществом, </w:t>
      </w:r>
      <w:r w:rsidR="00DD3E9C" w:rsidRPr="00CC694B">
        <w:rPr>
          <w:sz w:val="28"/>
          <w:szCs w:val="28"/>
        </w:rPr>
        <w:t>путём</w:t>
      </w:r>
      <w:r w:rsidRPr="00CC694B">
        <w:rPr>
          <w:sz w:val="28"/>
          <w:szCs w:val="28"/>
        </w:rPr>
        <w:t xml:space="preserve"> введения данных в </w:t>
      </w:r>
      <w:r w:rsidR="00DD3E9C" w:rsidRPr="00CC694B">
        <w:rPr>
          <w:sz w:val="28"/>
          <w:szCs w:val="28"/>
        </w:rPr>
        <w:t>определённые</w:t>
      </w:r>
      <w:r w:rsidRPr="00CC694B">
        <w:rPr>
          <w:sz w:val="28"/>
          <w:szCs w:val="28"/>
        </w:rPr>
        <w:t xml:space="preserve"> поля в соответствующих формах по видам основных фондов в Межведомственной автоматизированной информационной системе «Единый реестр государственного имущества Кыргызской Республики» (МАИС ЕРГИ).</w:t>
      </w:r>
    </w:p>
    <w:p w:rsidR="00667391" w:rsidRPr="00CC694B" w:rsidRDefault="00667391" w:rsidP="00842EE3">
      <w:pPr>
        <w:pStyle w:val="20"/>
        <w:numPr>
          <w:ilvl w:val="0"/>
          <w:numId w:val="5"/>
        </w:numPr>
        <w:shd w:val="clear" w:color="auto" w:fill="auto"/>
        <w:tabs>
          <w:tab w:val="left" w:pos="884"/>
          <w:tab w:val="left" w:pos="1134"/>
        </w:tabs>
        <w:spacing w:before="0" w:after="0"/>
        <w:ind w:firstLine="709"/>
        <w:rPr>
          <w:sz w:val="28"/>
          <w:szCs w:val="28"/>
        </w:rPr>
      </w:pPr>
      <w:r w:rsidRPr="00CC694B">
        <w:rPr>
          <w:sz w:val="28"/>
          <w:szCs w:val="28"/>
        </w:rPr>
        <w:t>Основными фондами являются объекты, используемые неоднократно или постоянно в течение длительного периода времени, но не менее одного года, для производства товаров и оказания услуг.</w:t>
      </w:r>
    </w:p>
    <w:p w:rsidR="00667391" w:rsidRDefault="00667391" w:rsidP="00842EE3">
      <w:pPr>
        <w:pStyle w:val="20"/>
        <w:numPr>
          <w:ilvl w:val="0"/>
          <w:numId w:val="5"/>
        </w:numPr>
        <w:shd w:val="clear" w:color="auto" w:fill="auto"/>
        <w:tabs>
          <w:tab w:val="left" w:pos="889"/>
          <w:tab w:val="left" w:pos="1134"/>
        </w:tabs>
        <w:spacing w:before="0" w:after="0"/>
        <w:ind w:firstLine="709"/>
        <w:rPr>
          <w:sz w:val="28"/>
          <w:szCs w:val="28"/>
        </w:rPr>
      </w:pPr>
      <w:r w:rsidRPr="00CC694B">
        <w:rPr>
          <w:sz w:val="28"/>
          <w:szCs w:val="28"/>
        </w:rPr>
        <w:lastRenderedPageBreak/>
        <w:t>Виды основных фондов, установленные в Системе национальных счетов 2008 (СНС 2008), приведены в Государственном классификаторе основных фондов (ГКОФ), принятом и введённом в действие постановлением Национального статистического комитета Кыргызской Республики от 1 марта 2017 года №5, с учётом гармонизации с СНС 2008.</w:t>
      </w:r>
    </w:p>
    <w:p w:rsidR="00667391" w:rsidRPr="00CC694B" w:rsidRDefault="00667391" w:rsidP="00842EE3">
      <w:pPr>
        <w:pStyle w:val="20"/>
        <w:numPr>
          <w:ilvl w:val="0"/>
          <w:numId w:val="5"/>
        </w:numPr>
        <w:shd w:val="clear" w:color="auto" w:fill="auto"/>
        <w:tabs>
          <w:tab w:val="left" w:pos="884"/>
          <w:tab w:val="left" w:pos="1134"/>
        </w:tabs>
        <w:spacing w:before="0" w:after="0"/>
        <w:ind w:firstLine="709"/>
        <w:rPr>
          <w:sz w:val="28"/>
          <w:szCs w:val="28"/>
        </w:rPr>
      </w:pPr>
      <w:r w:rsidRPr="00CC694B">
        <w:rPr>
          <w:sz w:val="28"/>
          <w:szCs w:val="28"/>
        </w:rPr>
        <w:t>В случае отсутствия достоверной информации по продажам имущества аналогичного переоцениваемому, в том числе и со сходным месторасположением, а также неразвитость, как в представляемом регионе, так и в целом по стране рынка продажи аналогичных объектов (это в первую очередь касается переоценки объектов недвижимости в части промышленной собственности, а также недвижимости находящейся в отдалённых районах, где отсутствуют аналоги) применяется затратный метод, в остальных случаях основным методом предварительной переоценки является сравнительный.</w:t>
      </w:r>
    </w:p>
    <w:p w:rsidR="00667391" w:rsidRPr="00CC694B" w:rsidRDefault="00667391" w:rsidP="00842EE3">
      <w:pPr>
        <w:pStyle w:val="20"/>
        <w:numPr>
          <w:ilvl w:val="0"/>
          <w:numId w:val="5"/>
        </w:numPr>
        <w:shd w:val="clear" w:color="auto" w:fill="auto"/>
        <w:tabs>
          <w:tab w:val="left" w:pos="889"/>
          <w:tab w:val="left" w:pos="1134"/>
        </w:tabs>
        <w:spacing w:before="0" w:after="0"/>
        <w:ind w:firstLine="709"/>
        <w:rPr>
          <w:sz w:val="28"/>
          <w:szCs w:val="28"/>
        </w:rPr>
      </w:pPr>
      <w:r w:rsidRPr="00CC694B">
        <w:rPr>
          <w:sz w:val="28"/>
          <w:szCs w:val="28"/>
        </w:rPr>
        <w:t xml:space="preserve">В случае если основные фонды исчерпали </w:t>
      </w:r>
      <w:r w:rsidR="004D3FBE">
        <w:rPr>
          <w:sz w:val="28"/>
          <w:szCs w:val="28"/>
        </w:rPr>
        <w:t>полезный</w:t>
      </w:r>
      <w:r w:rsidRPr="00CC694B">
        <w:rPr>
          <w:sz w:val="28"/>
          <w:szCs w:val="28"/>
        </w:rPr>
        <w:t xml:space="preserve"> срок службы, однако функционируют и находятся в удовлетворительном состоянии, Комиссией определяется предварительная стоимость. По результатам изучения цен в качестве предварительной стоимости определяется среднерыночная стоимость.</w:t>
      </w:r>
    </w:p>
    <w:p w:rsidR="00667391" w:rsidRPr="00CC694B" w:rsidRDefault="00842EE3" w:rsidP="00842EE3">
      <w:pPr>
        <w:pStyle w:val="20"/>
        <w:numPr>
          <w:ilvl w:val="0"/>
          <w:numId w:val="5"/>
        </w:numPr>
        <w:shd w:val="clear" w:color="auto" w:fill="auto"/>
        <w:tabs>
          <w:tab w:val="left" w:pos="884"/>
          <w:tab w:val="left" w:pos="993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7391" w:rsidRPr="00CC694B">
        <w:rPr>
          <w:sz w:val="28"/>
          <w:szCs w:val="28"/>
        </w:rPr>
        <w:t>Основные фонды, не имеющие особую ценность, первоначальная стоимость которых не превышает 50000 сомов или же на момент предварительной переоценки Комиссией принимается решение о том, что данный объект на рынке не имеет ценности, в качестве предварительной стоимости предоставляется информация о балансовой стоимости.</w:t>
      </w:r>
    </w:p>
    <w:p w:rsidR="00667391" w:rsidRDefault="00667391" w:rsidP="00CC3881">
      <w:pPr>
        <w:pStyle w:val="12"/>
        <w:numPr>
          <w:ilvl w:val="0"/>
          <w:numId w:val="4"/>
        </w:numPr>
        <w:shd w:val="clear" w:color="auto" w:fill="auto"/>
        <w:tabs>
          <w:tab w:val="left" w:pos="2360"/>
        </w:tabs>
        <w:spacing w:line="240" w:lineRule="auto"/>
        <w:ind w:left="2000"/>
        <w:jc w:val="both"/>
        <w:rPr>
          <w:sz w:val="28"/>
          <w:szCs w:val="28"/>
        </w:rPr>
      </w:pPr>
      <w:bookmarkStart w:id="5" w:name="bookmark4"/>
      <w:r w:rsidRPr="00CC694B">
        <w:rPr>
          <w:sz w:val="28"/>
          <w:szCs w:val="28"/>
        </w:rPr>
        <w:t>Метод прямого сравнительного анализа</w:t>
      </w:r>
      <w:bookmarkEnd w:id="5"/>
    </w:p>
    <w:p w:rsidR="0073712A" w:rsidRPr="0073712A" w:rsidRDefault="0073712A" w:rsidP="00CC3881">
      <w:pPr>
        <w:pStyle w:val="12"/>
        <w:shd w:val="clear" w:color="auto" w:fill="auto"/>
        <w:tabs>
          <w:tab w:val="left" w:pos="2360"/>
        </w:tabs>
        <w:spacing w:line="240" w:lineRule="auto"/>
        <w:ind w:left="2000"/>
        <w:jc w:val="both"/>
        <w:rPr>
          <w:sz w:val="16"/>
          <w:szCs w:val="16"/>
        </w:rPr>
      </w:pPr>
    </w:p>
    <w:p w:rsidR="00667391" w:rsidRPr="00CC694B" w:rsidRDefault="00667391" w:rsidP="00842EE3">
      <w:pPr>
        <w:pStyle w:val="20"/>
        <w:numPr>
          <w:ilvl w:val="0"/>
          <w:numId w:val="5"/>
        </w:numPr>
        <w:shd w:val="clear" w:color="auto" w:fill="auto"/>
        <w:tabs>
          <w:tab w:val="left" w:pos="879"/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CC694B">
        <w:rPr>
          <w:sz w:val="28"/>
          <w:szCs w:val="28"/>
        </w:rPr>
        <w:t>Метод прямого сравнительного анализа позволяет наиболее точно определить среднерыночную стоимость объекта.</w:t>
      </w:r>
    </w:p>
    <w:p w:rsidR="0073712A" w:rsidRDefault="00667391" w:rsidP="00842EE3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CC694B">
        <w:rPr>
          <w:sz w:val="28"/>
          <w:szCs w:val="28"/>
        </w:rPr>
        <w:t xml:space="preserve">Метод прямого сравнительного анализа основан на принципах: </w:t>
      </w:r>
    </w:p>
    <w:p w:rsidR="00667391" w:rsidRPr="00CC694B" w:rsidRDefault="00671E73" w:rsidP="00842EE3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67391" w:rsidRPr="00CC694B">
        <w:rPr>
          <w:sz w:val="28"/>
          <w:szCs w:val="28"/>
        </w:rPr>
        <w:t>замещения, в соответствие с которым предполагается, что когда несколько сходных, соразмерных товаров, предметов потребления или услуг равнодоступны, то тот, который обладает самой низкой ценой, привлекает наивысший спрос;</w:t>
      </w:r>
    </w:p>
    <w:p w:rsidR="0073712A" w:rsidRDefault="00671E73" w:rsidP="00842EE3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="00667391" w:rsidRPr="00CC694B">
        <w:rPr>
          <w:sz w:val="28"/>
          <w:szCs w:val="28"/>
        </w:rPr>
        <w:t xml:space="preserve"> спроса и предложения. Цены устанавливаются в процессе переговоров между покупателями и продавцами на рынке</w:t>
      </w:r>
      <w:r w:rsidR="0073712A">
        <w:rPr>
          <w:sz w:val="28"/>
          <w:szCs w:val="28"/>
        </w:rPr>
        <w:t>.</w:t>
      </w:r>
      <w:r w:rsidR="00667391" w:rsidRPr="00CC694B">
        <w:rPr>
          <w:sz w:val="28"/>
          <w:szCs w:val="28"/>
        </w:rPr>
        <w:t xml:space="preserve"> </w:t>
      </w:r>
    </w:p>
    <w:p w:rsidR="00667391" w:rsidRPr="00CC694B" w:rsidRDefault="00667391" w:rsidP="00842EE3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CC694B">
        <w:rPr>
          <w:sz w:val="28"/>
          <w:szCs w:val="28"/>
        </w:rPr>
        <w:t>Если спрос на</w:t>
      </w:r>
      <w:r w:rsidR="0073712A">
        <w:rPr>
          <w:sz w:val="28"/>
          <w:szCs w:val="28"/>
        </w:rPr>
        <w:t xml:space="preserve"> </w:t>
      </w:r>
      <w:r w:rsidR="0073712A" w:rsidRPr="00CC694B">
        <w:rPr>
          <w:sz w:val="28"/>
          <w:szCs w:val="28"/>
        </w:rPr>
        <w:t>определённый</w:t>
      </w:r>
      <w:r w:rsidRPr="00CC694B">
        <w:rPr>
          <w:sz w:val="28"/>
          <w:szCs w:val="28"/>
        </w:rPr>
        <w:t xml:space="preserve"> вид товара высок, то цены имеют тенденцию к повышению; если спрос низок, то цены снижаются;</w:t>
      </w:r>
    </w:p>
    <w:p w:rsidR="00667391" w:rsidRPr="00CC694B" w:rsidRDefault="00671E73" w:rsidP="00842EE3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67391" w:rsidRPr="00CC694B">
        <w:rPr>
          <w:sz w:val="28"/>
          <w:szCs w:val="28"/>
        </w:rPr>
        <w:t xml:space="preserve">сбалансированности. Предложение и спрос стремятся к установлению равновесия, или баланса на рынке. Однако, точка равновесия обычно не достижима, потому что предложение и спрос постоянно изменяются. Возможность применения этого метода основана на сборе информации о продажах, сходных с оцениваемым имуществом, и их анализе, с помощью которого могут быть получены величины корректировок для определенных факторов, влияющих на переоценку </w:t>
      </w:r>
      <w:r w:rsidR="00667391" w:rsidRPr="00CC694B">
        <w:rPr>
          <w:sz w:val="28"/>
          <w:szCs w:val="28"/>
        </w:rPr>
        <w:lastRenderedPageBreak/>
        <w:t>стоимости.</w:t>
      </w:r>
    </w:p>
    <w:p w:rsidR="00667391" w:rsidRPr="00CC694B" w:rsidRDefault="00667391" w:rsidP="00842EE3">
      <w:pPr>
        <w:pStyle w:val="20"/>
        <w:numPr>
          <w:ilvl w:val="0"/>
          <w:numId w:val="5"/>
        </w:numPr>
        <w:shd w:val="clear" w:color="auto" w:fill="auto"/>
        <w:tabs>
          <w:tab w:val="left" w:pos="1045"/>
          <w:tab w:val="left" w:pos="1276"/>
        </w:tabs>
        <w:spacing w:before="0" w:after="0"/>
        <w:ind w:firstLine="709"/>
        <w:rPr>
          <w:sz w:val="28"/>
          <w:szCs w:val="28"/>
        </w:rPr>
      </w:pPr>
      <w:r w:rsidRPr="00CC694B">
        <w:rPr>
          <w:sz w:val="28"/>
          <w:szCs w:val="28"/>
        </w:rPr>
        <w:t>Область применения метода прямого сравнительного анализа наиболее эффективна для объектов, по которым имеется достаточное количество достоверной информации. Данный метод включает сбор данных о рынке продаж и предложений по объектам, сходным с оцениваемым имуществом. Цены на объекты-аналоги корректируются с учетом параметров, по которым объекты отличаются друг от друга. После корректировки цен их можно использовать для определения среднерыночной стоимости оцениваемой собственности.</w:t>
      </w:r>
    </w:p>
    <w:p w:rsidR="00667391" w:rsidRPr="00CC694B" w:rsidRDefault="00842EE3" w:rsidP="00842EE3">
      <w:pPr>
        <w:pStyle w:val="20"/>
        <w:numPr>
          <w:ilvl w:val="0"/>
          <w:numId w:val="5"/>
        </w:numPr>
        <w:shd w:val="clear" w:color="auto" w:fill="auto"/>
        <w:tabs>
          <w:tab w:val="left" w:pos="1045"/>
          <w:tab w:val="left" w:pos="113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7391" w:rsidRPr="00CC694B">
        <w:rPr>
          <w:sz w:val="28"/>
          <w:szCs w:val="28"/>
        </w:rPr>
        <w:t xml:space="preserve">Необходимое количество аналогов, для использования сравнительного подхода, должно быть не менее </w:t>
      </w:r>
      <w:r w:rsidR="00671E73" w:rsidRPr="00CC694B">
        <w:rPr>
          <w:sz w:val="28"/>
          <w:szCs w:val="28"/>
        </w:rPr>
        <w:t>трёх</w:t>
      </w:r>
      <w:r w:rsidR="00667391" w:rsidRPr="00CC694B">
        <w:rPr>
          <w:sz w:val="28"/>
          <w:szCs w:val="28"/>
        </w:rPr>
        <w:t>.</w:t>
      </w:r>
    </w:p>
    <w:p w:rsidR="00667391" w:rsidRPr="00CC694B" w:rsidRDefault="00842EE3" w:rsidP="00842EE3">
      <w:pPr>
        <w:pStyle w:val="20"/>
        <w:numPr>
          <w:ilvl w:val="0"/>
          <w:numId w:val="5"/>
        </w:numPr>
        <w:shd w:val="clear" w:color="auto" w:fill="auto"/>
        <w:tabs>
          <w:tab w:val="left" w:pos="1045"/>
          <w:tab w:val="left" w:pos="113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7391" w:rsidRPr="00CC694B">
        <w:rPr>
          <w:sz w:val="28"/>
          <w:szCs w:val="28"/>
        </w:rPr>
        <w:t>При продажах больших объектов информация об экономических характеристиках и условиях продажи часто недоступна, поэтому в таких случаях метод сравнения сможет определить диапазон, в котором наиболее вероятно будет находиться величина рыночной стоимости.</w:t>
      </w:r>
    </w:p>
    <w:p w:rsidR="00667391" w:rsidRPr="00CC694B" w:rsidRDefault="00667391" w:rsidP="00842EE3">
      <w:pPr>
        <w:pStyle w:val="20"/>
        <w:numPr>
          <w:ilvl w:val="0"/>
          <w:numId w:val="5"/>
        </w:numPr>
        <w:shd w:val="clear" w:color="auto" w:fill="auto"/>
        <w:tabs>
          <w:tab w:val="left" w:pos="1045"/>
          <w:tab w:val="left" w:pos="1276"/>
        </w:tabs>
        <w:spacing w:before="0" w:after="0"/>
        <w:ind w:firstLine="709"/>
        <w:rPr>
          <w:sz w:val="28"/>
          <w:szCs w:val="28"/>
        </w:rPr>
      </w:pPr>
      <w:r w:rsidRPr="00CC694B">
        <w:rPr>
          <w:sz w:val="28"/>
          <w:szCs w:val="28"/>
        </w:rPr>
        <w:t xml:space="preserve">Любое отличие условий продажи сравнимого объекта от типичных рыночных условий на дату переоценки должно быть учтено при анализе. Существенным ограничительным фактором метода прямого сравнительного анализа является достоверность полученной информации. </w:t>
      </w:r>
      <w:r w:rsidR="00671E73" w:rsidRPr="00CC694B">
        <w:rPr>
          <w:sz w:val="28"/>
          <w:szCs w:val="28"/>
        </w:rPr>
        <w:t>Расчёт</w:t>
      </w:r>
      <w:r w:rsidRPr="00CC694B">
        <w:rPr>
          <w:sz w:val="28"/>
          <w:szCs w:val="28"/>
        </w:rPr>
        <w:t xml:space="preserve"> должен быть </w:t>
      </w:r>
      <w:r w:rsidR="00671E73" w:rsidRPr="00CC694B">
        <w:rPr>
          <w:sz w:val="28"/>
          <w:szCs w:val="28"/>
        </w:rPr>
        <w:t>подтверждён</w:t>
      </w:r>
      <w:r w:rsidRPr="00CC694B">
        <w:rPr>
          <w:sz w:val="28"/>
          <w:szCs w:val="28"/>
        </w:rPr>
        <w:t xml:space="preserve"> контактными телефонами продавцов аналогичных объектов, </w:t>
      </w:r>
      <w:r w:rsidRPr="00CC694B">
        <w:rPr>
          <w:sz w:val="28"/>
          <w:szCs w:val="28"/>
          <w:lang w:val="en-US" w:bidi="en-US"/>
        </w:rPr>
        <w:t>Screenshots</w:t>
      </w:r>
      <w:r w:rsidRPr="00CC694B">
        <w:rPr>
          <w:sz w:val="28"/>
          <w:szCs w:val="28"/>
          <w:lang w:bidi="en-US"/>
        </w:rPr>
        <w:t>/</w:t>
      </w:r>
      <w:r w:rsidRPr="00CC694B">
        <w:rPr>
          <w:sz w:val="28"/>
          <w:szCs w:val="28"/>
          <w:lang w:val="en-US" w:bidi="en-US"/>
        </w:rPr>
        <w:t>Print</w:t>
      </w:r>
      <w:r w:rsidRPr="00CC694B">
        <w:rPr>
          <w:sz w:val="28"/>
          <w:szCs w:val="28"/>
          <w:lang w:bidi="en-US"/>
        </w:rPr>
        <w:t xml:space="preserve"> </w:t>
      </w:r>
      <w:r w:rsidRPr="00CC694B">
        <w:rPr>
          <w:sz w:val="28"/>
          <w:szCs w:val="28"/>
          <w:lang w:val="en-US" w:bidi="en-US"/>
        </w:rPr>
        <w:t>Screen</w:t>
      </w:r>
      <w:r w:rsidRPr="00CC694B">
        <w:rPr>
          <w:sz w:val="28"/>
          <w:szCs w:val="28"/>
          <w:lang w:bidi="en-US"/>
        </w:rPr>
        <w:t xml:space="preserve"> </w:t>
      </w:r>
      <w:r w:rsidRPr="00CC694B">
        <w:rPr>
          <w:sz w:val="28"/>
          <w:szCs w:val="28"/>
        </w:rPr>
        <w:t>интернет - страниц, вырезками или копиями печатных изданий. Собранные материалы подлежат актированию Комиссией.</w:t>
      </w:r>
    </w:p>
    <w:p w:rsidR="00667391" w:rsidRPr="00CC694B" w:rsidRDefault="00667391" w:rsidP="00842EE3">
      <w:pPr>
        <w:pStyle w:val="20"/>
        <w:numPr>
          <w:ilvl w:val="0"/>
          <w:numId w:val="5"/>
        </w:numPr>
        <w:shd w:val="clear" w:color="auto" w:fill="auto"/>
        <w:tabs>
          <w:tab w:val="left" w:pos="1045"/>
          <w:tab w:val="left" w:pos="1276"/>
        </w:tabs>
        <w:spacing w:before="0" w:after="0"/>
        <w:ind w:firstLine="709"/>
        <w:rPr>
          <w:sz w:val="28"/>
          <w:szCs w:val="28"/>
        </w:rPr>
      </w:pPr>
      <w:r w:rsidRPr="00CC694B">
        <w:rPr>
          <w:sz w:val="28"/>
          <w:szCs w:val="28"/>
        </w:rPr>
        <w:t>В той мере, в какой оцениваемый объект отличается от сопоставимого, в цену первого вносят поправки с тем, чтобы определить, по какой цене был. бы продан сопоставимый объект, если бы обладал теми же характеристиками, что и оцениваемый объект.</w:t>
      </w:r>
    </w:p>
    <w:p w:rsidR="00667391" w:rsidRPr="00CC694B" w:rsidRDefault="00667391" w:rsidP="00842EE3">
      <w:pPr>
        <w:pStyle w:val="20"/>
        <w:numPr>
          <w:ilvl w:val="0"/>
          <w:numId w:val="5"/>
        </w:numPr>
        <w:shd w:val="clear" w:color="auto" w:fill="auto"/>
        <w:tabs>
          <w:tab w:val="left" w:pos="1045"/>
          <w:tab w:val="left" w:pos="1276"/>
        </w:tabs>
        <w:spacing w:before="0" w:after="0"/>
        <w:ind w:firstLine="709"/>
        <w:rPr>
          <w:sz w:val="28"/>
          <w:szCs w:val="28"/>
        </w:rPr>
      </w:pPr>
      <w:r w:rsidRPr="00CC694B">
        <w:rPr>
          <w:sz w:val="28"/>
          <w:szCs w:val="28"/>
        </w:rPr>
        <w:t>Основные этапы процедуры переоценки с использованием метода прямого сравнительного анализа:</w:t>
      </w:r>
    </w:p>
    <w:p w:rsidR="00667391" w:rsidRPr="00CC694B" w:rsidRDefault="00671E73" w:rsidP="00842EE3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67391" w:rsidRPr="00CC694B">
        <w:rPr>
          <w:sz w:val="28"/>
          <w:szCs w:val="28"/>
        </w:rPr>
        <w:t>мониторинг и изучение соответствующего рынка, сбор информации (размещённые в сети интернет, печатных изданиях и других источниках информации) о недавних сделках, предложениях по продаже объектов, аналогичных объекту переоценки. Проверка информации. Необходимо убедиться, прежде всего, в том, что цены не искажены какими-либо чрезвычайными обстоятельствами, сопутствующими состоявшимся сделкам;</w:t>
      </w:r>
    </w:p>
    <w:p w:rsidR="00667391" w:rsidRPr="00CC694B" w:rsidRDefault="00671E73" w:rsidP="00842EE3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67391" w:rsidRPr="00CC694B">
        <w:rPr>
          <w:sz w:val="28"/>
          <w:szCs w:val="28"/>
        </w:rPr>
        <w:t>запрос информации о рыночной стоимости аналогичных объектов у соответствующего уполномоченного органа в сфере регистрации и статистики;</w:t>
      </w:r>
    </w:p>
    <w:p w:rsidR="00667391" w:rsidRPr="00CC694B" w:rsidRDefault="00671E73" w:rsidP="00842EE3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67391" w:rsidRPr="00CC694B">
        <w:rPr>
          <w:sz w:val="28"/>
          <w:szCs w:val="28"/>
        </w:rPr>
        <w:t>запрос информации о коэффициентах капитальных вложений на момент переоценки у государственного органа в сфере архитектуры и строительства;</w:t>
      </w:r>
    </w:p>
    <w:p w:rsidR="00667391" w:rsidRDefault="00A04169" w:rsidP="00842EE3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67391" w:rsidRPr="00CC694B">
        <w:rPr>
          <w:sz w:val="28"/>
          <w:szCs w:val="28"/>
        </w:rPr>
        <w:t xml:space="preserve">сравнение оцениваемого объекта с каждым из аналогичных объектов и выявление отличий по дате продажи, потребительским характеристикам, местоположению, исполнению, наличию </w:t>
      </w:r>
      <w:r w:rsidR="00667391" w:rsidRPr="00CC694B">
        <w:rPr>
          <w:sz w:val="28"/>
          <w:szCs w:val="28"/>
        </w:rPr>
        <w:lastRenderedPageBreak/>
        <w:t xml:space="preserve">дополнительных элементов, техническим параметрам, функциям, спецификациям, критериям, состоянию и так далее, влияющих на стоимость. Определение размеров и внесение поправок с </w:t>
      </w:r>
      <w:r w:rsidRPr="00CC694B">
        <w:rPr>
          <w:sz w:val="28"/>
          <w:szCs w:val="28"/>
        </w:rPr>
        <w:t>учётом</w:t>
      </w:r>
      <w:r w:rsidR="00667391" w:rsidRPr="00CC694B">
        <w:rPr>
          <w:sz w:val="28"/>
          <w:szCs w:val="28"/>
        </w:rPr>
        <w:t xml:space="preserve"> различий. Определённые поправки добавляются (в случае лучших качеств оцениваемого объекта по сравнению с аналогом) или вычитаются (в случае худших качеств оцениваемого объекта по сравнению с аналогом).</w:t>
      </w:r>
    </w:p>
    <w:p w:rsidR="00391EAB" w:rsidRPr="00391EAB" w:rsidRDefault="00842EE3" w:rsidP="00842EE3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7391" w:rsidRPr="00DD3E9C">
        <w:rPr>
          <w:sz w:val="28"/>
          <w:szCs w:val="28"/>
        </w:rPr>
        <w:t>Перечень применяемых корректировок в ходе провед</w:t>
      </w:r>
      <w:r w:rsidR="00391EAB">
        <w:rPr>
          <w:sz w:val="28"/>
          <w:szCs w:val="28"/>
        </w:rPr>
        <w:t>ения предварительной переоценки.</w:t>
      </w:r>
    </w:p>
    <w:p w:rsidR="00667391" w:rsidRPr="00DD3E9C" w:rsidRDefault="00A04169" w:rsidP="00842EE3">
      <w:pPr>
        <w:pStyle w:val="20"/>
        <w:shd w:val="clear" w:color="auto" w:fill="auto"/>
        <w:tabs>
          <w:tab w:val="left" w:pos="1045"/>
        </w:tabs>
        <w:spacing w:before="0" w:after="0"/>
        <w:ind w:firstLine="709"/>
        <w:rPr>
          <w:sz w:val="28"/>
          <w:szCs w:val="28"/>
        </w:rPr>
      </w:pPr>
      <w:r w:rsidRPr="00DD3E9C">
        <w:rPr>
          <w:sz w:val="28"/>
          <w:szCs w:val="28"/>
        </w:rPr>
        <w:t>–</w:t>
      </w:r>
      <w:r w:rsidRPr="00DD3E9C">
        <w:rPr>
          <w:sz w:val="28"/>
          <w:szCs w:val="28"/>
        </w:rPr>
        <w:tab/>
      </w:r>
      <w:r w:rsidR="00667391" w:rsidRPr="00DD3E9C">
        <w:rPr>
          <w:sz w:val="28"/>
          <w:szCs w:val="28"/>
        </w:rPr>
        <w:t>состав имущественных прав;</w:t>
      </w:r>
    </w:p>
    <w:p w:rsidR="00667391" w:rsidRPr="00CC694B" w:rsidRDefault="00A04169" w:rsidP="00842EE3">
      <w:pPr>
        <w:pStyle w:val="20"/>
        <w:shd w:val="clear" w:color="auto" w:fill="auto"/>
        <w:tabs>
          <w:tab w:val="left" w:pos="1092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667391" w:rsidRPr="00CC694B">
        <w:rPr>
          <w:sz w:val="28"/>
          <w:szCs w:val="28"/>
        </w:rPr>
        <w:t>время осуществления сделки;</w:t>
      </w:r>
    </w:p>
    <w:p w:rsidR="00667391" w:rsidRPr="00CC694B" w:rsidRDefault="00A04169" w:rsidP="00842EE3">
      <w:pPr>
        <w:pStyle w:val="20"/>
        <w:shd w:val="clear" w:color="auto" w:fill="auto"/>
        <w:tabs>
          <w:tab w:val="left" w:pos="1092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667391" w:rsidRPr="00CC694B">
        <w:rPr>
          <w:sz w:val="28"/>
          <w:szCs w:val="28"/>
        </w:rPr>
        <w:t>местоположение объекта;</w:t>
      </w:r>
    </w:p>
    <w:p w:rsidR="00667391" w:rsidRPr="00CC694B" w:rsidRDefault="00A04169" w:rsidP="00842EE3">
      <w:pPr>
        <w:pStyle w:val="20"/>
        <w:shd w:val="clear" w:color="auto" w:fill="auto"/>
        <w:tabs>
          <w:tab w:val="left" w:pos="1092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667391" w:rsidRPr="00CC694B">
        <w:rPr>
          <w:sz w:val="28"/>
          <w:szCs w:val="28"/>
        </w:rPr>
        <w:t>экологические условия;</w:t>
      </w:r>
    </w:p>
    <w:p w:rsidR="00667391" w:rsidRPr="00CC694B" w:rsidRDefault="00A04169" w:rsidP="00842EE3">
      <w:pPr>
        <w:pStyle w:val="20"/>
        <w:shd w:val="clear" w:color="auto" w:fill="auto"/>
        <w:tabs>
          <w:tab w:val="left" w:pos="1092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667391" w:rsidRPr="00CC694B">
        <w:rPr>
          <w:sz w:val="28"/>
          <w:szCs w:val="28"/>
        </w:rPr>
        <w:t>транспортные условия;</w:t>
      </w:r>
    </w:p>
    <w:p w:rsidR="00667391" w:rsidRPr="00CC694B" w:rsidRDefault="00A04169" w:rsidP="00842EE3">
      <w:pPr>
        <w:pStyle w:val="20"/>
        <w:shd w:val="clear" w:color="auto" w:fill="auto"/>
        <w:tabs>
          <w:tab w:val="left" w:pos="1092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667391" w:rsidRPr="00CC694B">
        <w:rPr>
          <w:sz w:val="28"/>
          <w:szCs w:val="28"/>
        </w:rPr>
        <w:t>инженерные коммуникации;</w:t>
      </w:r>
    </w:p>
    <w:p w:rsidR="00667391" w:rsidRPr="00CC694B" w:rsidRDefault="00A04169" w:rsidP="00842EE3">
      <w:pPr>
        <w:pStyle w:val="20"/>
        <w:shd w:val="clear" w:color="auto" w:fill="auto"/>
        <w:tabs>
          <w:tab w:val="left" w:pos="1092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667391" w:rsidRPr="00CC694B">
        <w:rPr>
          <w:sz w:val="28"/>
          <w:szCs w:val="28"/>
        </w:rPr>
        <w:t>престижность;</w:t>
      </w:r>
    </w:p>
    <w:p w:rsidR="00667391" w:rsidRPr="00CC694B" w:rsidRDefault="00A04169" w:rsidP="00842EE3">
      <w:pPr>
        <w:pStyle w:val="20"/>
        <w:shd w:val="clear" w:color="auto" w:fill="auto"/>
        <w:tabs>
          <w:tab w:val="left" w:pos="1092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667391" w:rsidRPr="00CC694B">
        <w:rPr>
          <w:sz w:val="28"/>
          <w:szCs w:val="28"/>
        </w:rPr>
        <w:t>архитектурно-конструктивные характеристики, параметры объекта;</w:t>
      </w:r>
    </w:p>
    <w:p w:rsidR="00667391" w:rsidRPr="00CC694B" w:rsidRDefault="00A04169" w:rsidP="00842EE3">
      <w:pPr>
        <w:pStyle w:val="20"/>
        <w:shd w:val="clear" w:color="auto" w:fill="auto"/>
        <w:tabs>
          <w:tab w:val="left" w:pos="1092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667391" w:rsidRPr="00CC694B">
        <w:rPr>
          <w:sz w:val="28"/>
          <w:szCs w:val="28"/>
        </w:rPr>
        <w:t>функциональная пригодность, физическое состояние;</w:t>
      </w:r>
    </w:p>
    <w:p w:rsidR="00667391" w:rsidRPr="00CC694B" w:rsidRDefault="00A04169" w:rsidP="00842EE3">
      <w:pPr>
        <w:pStyle w:val="20"/>
        <w:shd w:val="clear" w:color="auto" w:fill="auto"/>
        <w:tabs>
          <w:tab w:val="left" w:pos="1092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667391" w:rsidRPr="00CC694B">
        <w:rPr>
          <w:sz w:val="28"/>
          <w:szCs w:val="28"/>
        </w:rPr>
        <w:t>другие показатели, применяемые для корректировки стоимости.</w:t>
      </w:r>
    </w:p>
    <w:p w:rsidR="00667391" w:rsidRDefault="00842EE3" w:rsidP="00842EE3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</w:pPr>
      <w:r>
        <w:rPr>
          <w:sz w:val="28"/>
          <w:szCs w:val="28"/>
        </w:rPr>
        <w:t xml:space="preserve"> </w:t>
      </w:r>
      <w:r w:rsidR="00667391" w:rsidRPr="00CC694B">
        <w:rPr>
          <w:sz w:val="28"/>
          <w:szCs w:val="28"/>
        </w:rPr>
        <w:t>Установление стоимости оцениваемого объекта путем анализа сравнительных характеристик и сведению их к одному стоимостному показателю или к группе показателей. В условиях недостатка или низкой достоверности информации о рынке вместо стоимостной переоценки объекта выходные данные могут быть представлены в виде группы</w:t>
      </w:r>
      <w:r w:rsidR="00787F81">
        <w:rPr>
          <w:sz w:val="28"/>
          <w:szCs w:val="28"/>
        </w:rPr>
        <w:t>.</w:t>
      </w:r>
    </w:p>
    <w:p w:rsidR="00667391" w:rsidRDefault="00667391" w:rsidP="00787F81">
      <w:pPr>
        <w:jc w:val="both"/>
        <w:rPr>
          <w:rStyle w:val="a3"/>
          <w:rFonts w:eastAsiaTheme="minorHAnsi"/>
          <w:sz w:val="28"/>
          <w:szCs w:val="28"/>
          <w:u w:val="none"/>
        </w:rPr>
      </w:pPr>
      <w:r w:rsidRPr="00CC694B">
        <w:t xml:space="preserve">Корректировка - коэффициент увеличения либо уменьшения стоимости оцениваемого объекта в зависимости от факторов, влияющих на стоимость </w:t>
      </w:r>
      <w:r w:rsidRPr="00667391">
        <w:rPr>
          <w:rStyle w:val="a3"/>
          <w:rFonts w:eastAsiaTheme="minorHAnsi"/>
          <w:sz w:val="28"/>
          <w:szCs w:val="28"/>
          <w:u w:val="none"/>
        </w:rPr>
        <w:t>объекта, где коэффициент устанавливается Комиссией.</w:t>
      </w:r>
    </w:p>
    <w:p w:rsidR="006B132E" w:rsidRPr="00CC3881" w:rsidRDefault="006B132E" w:rsidP="00A04169">
      <w:pPr>
        <w:ind w:firstLine="620"/>
        <w:rPr>
          <w:rStyle w:val="a3"/>
          <w:rFonts w:eastAsiaTheme="minorHAnsi"/>
          <w:sz w:val="16"/>
          <w:szCs w:val="16"/>
          <w:u w:val="none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33"/>
        <w:gridCol w:w="1699"/>
        <w:gridCol w:w="1272"/>
        <w:gridCol w:w="1411"/>
        <w:gridCol w:w="1272"/>
      </w:tblGrid>
      <w:tr w:rsidR="006B132E" w:rsidRPr="00F67006" w:rsidTr="009B25F8">
        <w:tc>
          <w:tcPr>
            <w:tcW w:w="3652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132E" w:rsidRPr="00F67006" w:rsidRDefault="006B132E" w:rsidP="009B25F8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20"/>
                <w:szCs w:val="20"/>
              </w:rPr>
            </w:pPr>
            <w:r w:rsidRPr="00F67006">
              <w:rPr>
                <w:rStyle w:val="295pt"/>
                <w:rFonts w:eastAsia="Lucida Sans Unicode"/>
                <w:sz w:val="20"/>
                <w:szCs w:val="20"/>
              </w:rPr>
              <w:t>Оцениваемый</w:t>
            </w:r>
          </w:p>
          <w:p w:rsidR="006B132E" w:rsidRPr="00F67006" w:rsidRDefault="006B132E" w:rsidP="009B25F8">
            <w:pPr>
              <w:ind w:firstLine="0"/>
              <w:jc w:val="center"/>
              <w:rPr>
                <w:sz w:val="20"/>
                <w:szCs w:val="20"/>
              </w:rPr>
            </w:pPr>
            <w:r w:rsidRPr="00F67006">
              <w:rPr>
                <w:rStyle w:val="295pt"/>
                <w:rFonts w:eastAsia="Lucida Sans Unicode"/>
                <w:sz w:val="20"/>
                <w:szCs w:val="20"/>
              </w:rPr>
              <w:t>объект</w:t>
            </w:r>
          </w:p>
        </w:tc>
        <w:tc>
          <w:tcPr>
            <w:tcW w:w="1276" w:type="dxa"/>
          </w:tcPr>
          <w:p w:rsidR="006B132E" w:rsidRPr="00F67006" w:rsidRDefault="006B132E" w:rsidP="009B25F8">
            <w:pPr>
              <w:ind w:firstLine="0"/>
              <w:jc w:val="center"/>
              <w:rPr>
                <w:sz w:val="20"/>
                <w:szCs w:val="20"/>
              </w:rPr>
            </w:pPr>
            <w:r w:rsidRPr="00F67006">
              <w:rPr>
                <w:rStyle w:val="295pt"/>
                <w:rFonts w:eastAsia="Lucida Sans Unicode"/>
                <w:sz w:val="20"/>
                <w:szCs w:val="20"/>
              </w:rPr>
              <w:t>Аналог 1</w:t>
            </w:r>
          </w:p>
        </w:tc>
        <w:tc>
          <w:tcPr>
            <w:tcW w:w="1417" w:type="dxa"/>
          </w:tcPr>
          <w:p w:rsidR="006B132E" w:rsidRPr="00F67006" w:rsidRDefault="006B132E" w:rsidP="009B25F8">
            <w:pPr>
              <w:ind w:firstLine="0"/>
              <w:jc w:val="center"/>
              <w:rPr>
                <w:sz w:val="20"/>
                <w:szCs w:val="20"/>
              </w:rPr>
            </w:pPr>
            <w:r w:rsidRPr="00F67006">
              <w:rPr>
                <w:rStyle w:val="295pt"/>
                <w:rFonts w:eastAsia="Lucida Sans Unicode"/>
                <w:sz w:val="20"/>
                <w:szCs w:val="20"/>
              </w:rPr>
              <w:t>Аналог 2</w:t>
            </w:r>
          </w:p>
        </w:tc>
        <w:tc>
          <w:tcPr>
            <w:tcW w:w="1276" w:type="dxa"/>
          </w:tcPr>
          <w:p w:rsidR="006B132E" w:rsidRPr="00F67006" w:rsidRDefault="006B132E" w:rsidP="009B25F8">
            <w:pPr>
              <w:ind w:firstLine="0"/>
              <w:jc w:val="center"/>
              <w:rPr>
                <w:sz w:val="20"/>
                <w:szCs w:val="20"/>
              </w:rPr>
            </w:pPr>
            <w:r w:rsidRPr="00F67006">
              <w:rPr>
                <w:rStyle w:val="295pt"/>
                <w:rFonts w:eastAsia="Lucida Sans Unicode"/>
                <w:sz w:val="20"/>
                <w:szCs w:val="20"/>
              </w:rPr>
              <w:t>Аналог 3</w:t>
            </w:r>
          </w:p>
        </w:tc>
      </w:tr>
      <w:tr w:rsidR="006B132E" w:rsidRPr="00F67006" w:rsidTr="00CC3881">
        <w:trPr>
          <w:trHeight w:val="784"/>
        </w:trPr>
        <w:tc>
          <w:tcPr>
            <w:tcW w:w="3652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  <w:r w:rsidRPr="00F67006">
              <w:rPr>
                <w:rStyle w:val="2LucidaSansUnicode7pt"/>
                <w:rFonts w:ascii="Times New Roman" w:hAnsi="Times New Roman" w:cs="Times New Roman"/>
                <w:sz w:val="20"/>
                <w:szCs w:val="20"/>
              </w:rPr>
              <w:t>Местоположение (для земельных участков, объектов недвижимости, и др. в случае если месторасположение</w:t>
            </w:r>
          </w:p>
        </w:tc>
        <w:tc>
          <w:tcPr>
            <w:tcW w:w="1701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</w:tr>
      <w:tr w:rsidR="006B132E" w:rsidRPr="00F67006" w:rsidTr="009B25F8">
        <w:tc>
          <w:tcPr>
            <w:tcW w:w="3652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  <w:r w:rsidRPr="00F67006">
              <w:rPr>
                <w:rStyle w:val="2LucidaSansUnicode7pt"/>
                <w:rFonts w:ascii="Times New Roman" w:hAnsi="Times New Roman" w:cs="Times New Roman"/>
                <w:sz w:val="20"/>
                <w:szCs w:val="20"/>
              </w:rPr>
              <w:t>Физическое состояние (отличном, хорошем, удовлетворительном</w:t>
            </w:r>
          </w:p>
        </w:tc>
        <w:tc>
          <w:tcPr>
            <w:tcW w:w="1701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</w:tr>
      <w:tr w:rsidR="006B132E" w:rsidRPr="00F67006" w:rsidTr="009B25F8">
        <w:tc>
          <w:tcPr>
            <w:tcW w:w="3652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  <w:r w:rsidRPr="00F67006">
              <w:rPr>
                <w:rStyle w:val="2LucidaSansUnicode7pt"/>
                <w:rFonts w:ascii="Times New Roman" w:hAnsi="Times New Roman" w:cs="Times New Roman"/>
                <w:sz w:val="20"/>
                <w:szCs w:val="20"/>
              </w:rPr>
              <w:t>Физические параметры (размер, объем, площадь, количество и.д.)</w:t>
            </w:r>
          </w:p>
        </w:tc>
        <w:tc>
          <w:tcPr>
            <w:tcW w:w="1701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</w:tr>
      <w:tr w:rsidR="006B132E" w:rsidRPr="00F67006" w:rsidTr="009B25F8">
        <w:tc>
          <w:tcPr>
            <w:tcW w:w="3652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  <w:r w:rsidRPr="00F67006">
              <w:rPr>
                <w:rStyle w:val="2LucidaSansUnicode6pt"/>
                <w:rFonts w:ascii="Times New Roman" w:hAnsi="Times New Roman" w:cs="Times New Roman"/>
                <w:sz w:val="20"/>
                <w:szCs w:val="20"/>
              </w:rPr>
              <w:t>Характеристика, спецификация (наличие или отсутствие</w:t>
            </w:r>
            <w:r w:rsidRPr="00F67006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улучшений, на примере недвижимого имущества, наличие коммуникаций в полном объёме или же отсутствие частичное либо полное)</w:t>
            </w:r>
          </w:p>
        </w:tc>
        <w:tc>
          <w:tcPr>
            <w:tcW w:w="1701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</w:tr>
      <w:tr w:rsidR="006B132E" w:rsidRPr="00F67006" w:rsidTr="009B25F8">
        <w:tc>
          <w:tcPr>
            <w:tcW w:w="3652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  <w:r w:rsidRPr="00F67006">
              <w:rPr>
                <w:rStyle w:val="2LucidaSansUnicode7pt"/>
                <w:rFonts w:ascii="Times New Roman" w:hAnsi="Times New Roman" w:cs="Times New Roman"/>
                <w:sz w:val="20"/>
                <w:szCs w:val="20"/>
              </w:rPr>
              <w:t>Другие показатели, применяемые при корректировке стоимости</w:t>
            </w:r>
          </w:p>
        </w:tc>
        <w:tc>
          <w:tcPr>
            <w:tcW w:w="1701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</w:tr>
      <w:tr w:rsidR="006B132E" w:rsidRPr="00F67006" w:rsidTr="009B25F8">
        <w:tc>
          <w:tcPr>
            <w:tcW w:w="3652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  <w:r w:rsidRPr="00F67006">
              <w:rPr>
                <w:rStyle w:val="2LucidaSansUnicode7pt"/>
                <w:rFonts w:ascii="Times New Roman" w:hAnsi="Times New Roman" w:cs="Times New Roman"/>
                <w:sz w:val="20"/>
                <w:szCs w:val="20"/>
              </w:rPr>
              <w:t>Стоимость (стоимость аналогичных объектов, товаров используемых в качестве аналога)</w:t>
            </w:r>
          </w:p>
        </w:tc>
        <w:tc>
          <w:tcPr>
            <w:tcW w:w="1701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</w:tr>
      <w:tr w:rsidR="006B132E" w:rsidRPr="00F67006" w:rsidTr="00CC3881">
        <w:trPr>
          <w:trHeight w:val="306"/>
        </w:trPr>
        <w:tc>
          <w:tcPr>
            <w:tcW w:w="3652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  <w:r w:rsidRPr="00F67006">
              <w:rPr>
                <w:rStyle w:val="2LucidaSansUnicode7pt"/>
                <w:rFonts w:ascii="Times New Roman" w:hAnsi="Times New Roman" w:cs="Times New Roman"/>
                <w:sz w:val="20"/>
                <w:szCs w:val="20"/>
              </w:rPr>
              <w:t>Корректировка на местоположение</w:t>
            </w:r>
          </w:p>
        </w:tc>
        <w:tc>
          <w:tcPr>
            <w:tcW w:w="1701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</w:tr>
      <w:tr w:rsidR="006B132E" w:rsidRPr="00F67006" w:rsidTr="009B25F8">
        <w:trPr>
          <w:trHeight w:val="340"/>
        </w:trPr>
        <w:tc>
          <w:tcPr>
            <w:tcW w:w="3652" w:type="dxa"/>
          </w:tcPr>
          <w:p w:rsidR="006B132E" w:rsidRPr="00F67006" w:rsidRDefault="006B132E" w:rsidP="009B25F8">
            <w:pPr>
              <w:ind w:firstLine="0"/>
              <w:rPr>
                <w:rStyle w:val="2LucidaSansUnicode7pt"/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67006">
              <w:rPr>
                <w:rStyle w:val="2LucidaSansUnicode7pt"/>
                <w:rFonts w:ascii="Times New Roman" w:hAnsi="Times New Roman" w:cs="Times New Roman"/>
                <w:sz w:val="20"/>
                <w:szCs w:val="20"/>
              </w:rPr>
              <w:t>Корректировка па состояние объекта</w:t>
            </w:r>
          </w:p>
        </w:tc>
        <w:tc>
          <w:tcPr>
            <w:tcW w:w="1701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</w:tr>
      <w:tr w:rsidR="006B132E" w:rsidRPr="00F67006" w:rsidTr="009B25F8">
        <w:trPr>
          <w:trHeight w:val="244"/>
        </w:trPr>
        <w:tc>
          <w:tcPr>
            <w:tcW w:w="3652" w:type="dxa"/>
          </w:tcPr>
          <w:p w:rsidR="006B132E" w:rsidRPr="00F67006" w:rsidRDefault="006B132E" w:rsidP="009B25F8">
            <w:pPr>
              <w:ind w:firstLine="0"/>
              <w:rPr>
                <w:rStyle w:val="2LucidaSansUnicode7pt"/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67006">
              <w:rPr>
                <w:rStyle w:val="2LucidaSansUnicode7pt"/>
                <w:rFonts w:ascii="Times New Roman" w:hAnsi="Times New Roman" w:cs="Times New Roman"/>
                <w:sz w:val="20"/>
                <w:szCs w:val="20"/>
              </w:rPr>
              <w:lastRenderedPageBreak/>
              <w:t>Корректировка на физические параметры</w:t>
            </w:r>
          </w:p>
        </w:tc>
        <w:tc>
          <w:tcPr>
            <w:tcW w:w="1701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</w:tr>
      <w:tr w:rsidR="006B132E" w:rsidRPr="00F67006" w:rsidTr="009B25F8">
        <w:trPr>
          <w:trHeight w:val="250"/>
        </w:trPr>
        <w:tc>
          <w:tcPr>
            <w:tcW w:w="3652" w:type="dxa"/>
          </w:tcPr>
          <w:p w:rsidR="006B132E" w:rsidRPr="00F67006" w:rsidRDefault="006B132E" w:rsidP="009B25F8">
            <w:pPr>
              <w:ind w:firstLine="0"/>
              <w:rPr>
                <w:rStyle w:val="2LucidaSansUnicode7pt"/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67006">
              <w:rPr>
                <w:rStyle w:val="2LucidaSansUnicode7pt"/>
                <w:rFonts w:ascii="Times New Roman" w:hAnsi="Times New Roman" w:cs="Times New Roman"/>
                <w:sz w:val="20"/>
                <w:szCs w:val="20"/>
              </w:rPr>
              <w:t>Корректировка на наличие улучшений,</w:t>
            </w:r>
          </w:p>
        </w:tc>
        <w:tc>
          <w:tcPr>
            <w:tcW w:w="1701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</w:tr>
      <w:tr w:rsidR="006B132E" w:rsidRPr="00F67006" w:rsidTr="009B25F8">
        <w:trPr>
          <w:trHeight w:val="613"/>
        </w:trPr>
        <w:tc>
          <w:tcPr>
            <w:tcW w:w="3652" w:type="dxa"/>
          </w:tcPr>
          <w:p w:rsidR="006B132E" w:rsidRPr="00F67006" w:rsidRDefault="006B132E" w:rsidP="009B25F8">
            <w:pPr>
              <w:ind w:firstLine="0"/>
              <w:rPr>
                <w:rStyle w:val="2LucidaSansUnicode7pt"/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67006">
              <w:rPr>
                <w:rStyle w:val="2LucidaSansUnicode7pt"/>
                <w:rFonts w:ascii="Times New Roman" w:hAnsi="Times New Roman" w:cs="Times New Roman"/>
                <w:sz w:val="20"/>
                <w:szCs w:val="20"/>
              </w:rPr>
              <w:t>Другие корректировки, применяемые при переоценке</w:t>
            </w:r>
          </w:p>
        </w:tc>
        <w:tc>
          <w:tcPr>
            <w:tcW w:w="1701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</w:tr>
      <w:tr w:rsidR="006B132E" w:rsidRPr="00F67006" w:rsidTr="009B25F8">
        <w:trPr>
          <w:trHeight w:val="320"/>
        </w:trPr>
        <w:tc>
          <w:tcPr>
            <w:tcW w:w="3652" w:type="dxa"/>
          </w:tcPr>
          <w:p w:rsidR="006B132E" w:rsidRPr="00F67006" w:rsidRDefault="006B132E" w:rsidP="009B25F8">
            <w:pPr>
              <w:ind w:firstLine="0"/>
              <w:rPr>
                <w:rStyle w:val="2LucidaSansUnicode7pt"/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67006">
              <w:rPr>
                <w:rStyle w:val="2LucidaSansUnicode7pt"/>
                <w:rFonts w:ascii="Times New Roman" w:hAnsi="Times New Roman" w:cs="Times New Roman"/>
                <w:sz w:val="20"/>
                <w:szCs w:val="20"/>
              </w:rPr>
              <w:t>Стоимость с учётом корректировки (за единицу, за кв. метр и т.д.)</w:t>
            </w:r>
          </w:p>
        </w:tc>
        <w:tc>
          <w:tcPr>
            <w:tcW w:w="1701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</w:tr>
      <w:tr w:rsidR="006B132E" w:rsidRPr="00F67006" w:rsidTr="009B25F8">
        <w:trPr>
          <w:trHeight w:val="330"/>
        </w:trPr>
        <w:tc>
          <w:tcPr>
            <w:tcW w:w="3652" w:type="dxa"/>
          </w:tcPr>
          <w:p w:rsidR="006B132E" w:rsidRPr="00F67006" w:rsidRDefault="006B132E" w:rsidP="009B25F8">
            <w:pPr>
              <w:ind w:firstLine="0"/>
              <w:rPr>
                <w:rStyle w:val="2LucidaSansUnicode7pt"/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67006">
              <w:rPr>
                <w:rStyle w:val="2LucidaSansUnicode7pt"/>
                <w:rFonts w:ascii="Times New Roman" w:hAnsi="Times New Roman" w:cs="Times New Roman"/>
                <w:sz w:val="20"/>
                <w:szCs w:val="20"/>
              </w:rPr>
              <w:t>Среднерыночная стоимость переоцениваемого объекта</w:t>
            </w:r>
          </w:p>
        </w:tc>
        <w:tc>
          <w:tcPr>
            <w:tcW w:w="1701" w:type="dxa"/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bottom w:val="nil"/>
              <w:right w:val="nil"/>
            </w:tcBorders>
          </w:tcPr>
          <w:p w:rsidR="006B132E" w:rsidRPr="00F67006" w:rsidRDefault="006B132E" w:rsidP="009B25F8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6B132E" w:rsidRDefault="006B132E" w:rsidP="006B132E">
      <w:pPr>
        <w:ind w:firstLine="0"/>
        <w:rPr>
          <w:sz w:val="20"/>
          <w:szCs w:val="20"/>
        </w:rPr>
      </w:pPr>
    </w:p>
    <w:p w:rsidR="008A0769" w:rsidRPr="00F67006" w:rsidRDefault="008A0769" w:rsidP="006B132E">
      <w:pPr>
        <w:ind w:firstLine="0"/>
        <w:rPr>
          <w:sz w:val="20"/>
          <w:szCs w:val="20"/>
        </w:rPr>
      </w:pPr>
    </w:p>
    <w:p w:rsidR="00667391" w:rsidRPr="0076727F" w:rsidRDefault="00667391" w:rsidP="00CC3881">
      <w:pPr>
        <w:pStyle w:val="12"/>
        <w:numPr>
          <w:ilvl w:val="0"/>
          <w:numId w:val="4"/>
        </w:numPr>
        <w:shd w:val="clear" w:color="auto" w:fill="auto"/>
        <w:tabs>
          <w:tab w:val="left" w:pos="2360"/>
        </w:tabs>
        <w:spacing w:line="240" w:lineRule="auto"/>
        <w:ind w:left="2000"/>
        <w:jc w:val="both"/>
        <w:rPr>
          <w:sz w:val="28"/>
          <w:szCs w:val="28"/>
        </w:rPr>
      </w:pPr>
      <w:bookmarkStart w:id="6" w:name="bookmark5"/>
      <w:r w:rsidRPr="0076727F">
        <w:rPr>
          <w:sz w:val="28"/>
          <w:szCs w:val="28"/>
        </w:rPr>
        <w:t>Затратный метод для основных фондов</w:t>
      </w:r>
      <w:bookmarkEnd w:id="6"/>
    </w:p>
    <w:p w:rsidR="004364FE" w:rsidRPr="004364FE" w:rsidRDefault="004364FE" w:rsidP="00CC3881">
      <w:pPr>
        <w:pStyle w:val="12"/>
        <w:shd w:val="clear" w:color="auto" w:fill="auto"/>
        <w:tabs>
          <w:tab w:val="left" w:pos="2360"/>
        </w:tabs>
        <w:spacing w:line="240" w:lineRule="auto"/>
        <w:ind w:left="2000"/>
        <w:jc w:val="both"/>
        <w:rPr>
          <w:sz w:val="16"/>
          <w:szCs w:val="16"/>
        </w:rPr>
      </w:pPr>
    </w:p>
    <w:p w:rsidR="00667391" w:rsidRPr="00CC694B" w:rsidRDefault="00667391" w:rsidP="00787F81">
      <w:pPr>
        <w:pStyle w:val="20"/>
        <w:shd w:val="clear" w:color="auto" w:fill="auto"/>
        <w:spacing w:before="0" w:after="0" w:line="240" w:lineRule="auto"/>
        <w:ind w:right="160" w:firstLine="709"/>
        <w:rPr>
          <w:sz w:val="28"/>
          <w:szCs w:val="28"/>
        </w:rPr>
      </w:pPr>
      <w:r w:rsidRPr="00CC694B">
        <w:rPr>
          <w:sz w:val="28"/>
          <w:szCs w:val="28"/>
        </w:rPr>
        <w:t xml:space="preserve">Затратный подход основан на предположении, что приемлемой основой для определения стоимости имущества являются затраты на воссоздание или замещение с </w:t>
      </w:r>
      <w:r w:rsidR="00D14C87" w:rsidRPr="00CC694B">
        <w:rPr>
          <w:sz w:val="28"/>
          <w:szCs w:val="28"/>
        </w:rPr>
        <w:t>учётом</w:t>
      </w:r>
      <w:r w:rsidRPr="00CC694B">
        <w:rPr>
          <w:sz w:val="28"/>
          <w:szCs w:val="28"/>
        </w:rPr>
        <w:t xml:space="preserve"> совокупного износа. При определении стоимости воссоздания (замещения) имущества должны быть учтены все прямые и косвенные затраты.</w:t>
      </w:r>
    </w:p>
    <w:p w:rsidR="00667391" w:rsidRDefault="00667391" w:rsidP="00787F81">
      <w:pPr>
        <w:pStyle w:val="20"/>
        <w:numPr>
          <w:ilvl w:val="0"/>
          <w:numId w:val="5"/>
        </w:numPr>
        <w:shd w:val="clear" w:color="auto" w:fill="auto"/>
        <w:tabs>
          <w:tab w:val="left" w:pos="1045"/>
        </w:tabs>
        <w:spacing w:before="0" w:after="0"/>
        <w:ind w:firstLine="709"/>
        <w:rPr>
          <w:sz w:val="28"/>
          <w:szCs w:val="28"/>
        </w:rPr>
      </w:pPr>
      <w:r w:rsidRPr="00CC694B">
        <w:rPr>
          <w:sz w:val="28"/>
          <w:szCs w:val="28"/>
        </w:rPr>
        <w:t>При переоценке недвижимого имущества затратным методом и невозможности применения сравнитель</w:t>
      </w:r>
      <w:r w:rsidR="00EF7D77">
        <w:rPr>
          <w:sz w:val="28"/>
          <w:szCs w:val="28"/>
        </w:rPr>
        <w:t>ного метода заполняется таблица</w:t>
      </w:r>
      <w:r w:rsidRPr="00CC694B">
        <w:rPr>
          <w:sz w:val="28"/>
          <w:szCs w:val="28"/>
        </w:rPr>
        <w:t>№?</w:t>
      </w:r>
    </w:p>
    <w:p w:rsidR="00EF7D77" w:rsidRPr="00CC694B" w:rsidRDefault="00EF7D77" w:rsidP="00EF7D77">
      <w:pPr>
        <w:pStyle w:val="20"/>
        <w:shd w:val="clear" w:color="auto" w:fill="auto"/>
        <w:tabs>
          <w:tab w:val="left" w:pos="1085"/>
        </w:tabs>
        <w:spacing w:before="0" w:after="0"/>
        <w:ind w:right="160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567"/>
        <w:gridCol w:w="567"/>
        <w:gridCol w:w="567"/>
        <w:gridCol w:w="709"/>
        <w:gridCol w:w="567"/>
        <w:gridCol w:w="567"/>
        <w:gridCol w:w="425"/>
        <w:gridCol w:w="567"/>
        <w:gridCol w:w="709"/>
        <w:gridCol w:w="567"/>
        <w:gridCol w:w="567"/>
        <w:gridCol w:w="425"/>
        <w:gridCol w:w="674"/>
      </w:tblGrid>
      <w:tr w:rsidR="00C2658E" w:rsidTr="008F48EE">
        <w:trPr>
          <w:cantSplit/>
          <w:trHeight w:val="2835"/>
        </w:trPr>
        <w:tc>
          <w:tcPr>
            <w:tcW w:w="392" w:type="dxa"/>
            <w:textDirection w:val="btLr"/>
            <w:vAlign w:val="center"/>
          </w:tcPr>
          <w:p w:rsidR="00EF7D77" w:rsidRPr="008F48EE" w:rsidRDefault="00EF7D77" w:rsidP="001A2AC1">
            <w:pPr>
              <w:ind w:left="113" w:right="113" w:firstLine="0"/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№ п/п</w:t>
            </w:r>
          </w:p>
        </w:tc>
        <w:tc>
          <w:tcPr>
            <w:tcW w:w="425" w:type="dxa"/>
            <w:textDirection w:val="btLr"/>
            <w:vAlign w:val="center"/>
          </w:tcPr>
          <w:p w:rsidR="00EF7D77" w:rsidRPr="008F48EE" w:rsidRDefault="00EF7D77" w:rsidP="001A2AC1">
            <w:pPr>
              <w:ind w:left="113" w:right="113" w:firstLine="0"/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extDirection w:val="btLr"/>
            <w:vAlign w:val="center"/>
          </w:tcPr>
          <w:p w:rsidR="00EF7D77" w:rsidRPr="008F48EE" w:rsidRDefault="00EF7D77" w:rsidP="001A2AC1">
            <w:pPr>
              <w:ind w:left="113" w:right="113" w:firstLine="0"/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Литера</w:t>
            </w:r>
          </w:p>
        </w:tc>
        <w:tc>
          <w:tcPr>
            <w:tcW w:w="426" w:type="dxa"/>
            <w:textDirection w:val="btLr"/>
            <w:vAlign w:val="center"/>
          </w:tcPr>
          <w:p w:rsidR="00EF7D77" w:rsidRPr="008F48EE" w:rsidRDefault="00EF7D77" w:rsidP="001A2AC1">
            <w:pPr>
              <w:ind w:left="113" w:right="113" w:firstLine="0"/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Год ввода в эксплуатацию</w:t>
            </w:r>
          </w:p>
        </w:tc>
        <w:tc>
          <w:tcPr>
            <w:tcW w:w="425" w:type="dxa"/>
            <w:textDirection w:val="btLr"/>
            <w:vAlign w:val="center"/>
          </w:tcPr>
          <w:p w:rsidR="00EF7D77" w:rsidRPr="008F48EE" w:rsidRDefault="00EF7D77" w:rsidP="001A2AC1">
            <w:pPr>
              <w:ind w:left="113" w:right="113" w:firstLine="0"/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Общая площадь объекта</w:t>
            </w:r>
          </w:p>
          <w:p w:rsidR="00EF7D77" w:rsidRPr="008F48EE" w:rsidRDefault="00EF7D77" w:rsidP="001A2AC1">
            <w:pPr>
              <w:ind w:left="113" w:right="113" w:firstLine="0"/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(кв.м.)</w:t>
            </w:r>
          </w:p>
        </w:tc>
        <w:tc>
          <w:tcPr>
            <w:tcW w:w="567" w:type="dxa"/>
            <w:textDirection w:val="btLr"/>
            <w:vAlign w:val="center"/>
          </w:tcPr>
          <w:p w:rsidR="00EF7D77" w:rsidRPr="008F48EE" w:rsidRDefault="00EF7D77" w:rsidP="001A2AC1">
            <w:pPr>
              <w:ind w:left="113" w:right="113" w:firstLine="0"/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Высота объекта</w:t>
            </w:r>
          </w:p>
          <w:p w:rsidR="00EF7D77" w:rsidRPr="008F48EE" w:rsidRDefault="00EF7D77" w:rsidP="001A2AC1">
            <w:pPr>
              <w:ind w:left="113" w:right="113" w:firstLine="0"/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(м.)</w:t>
            </w:r>
          </w:p>
        </w:tc>
        <w:tc>
          <w:tcPr>
            <w:tcW w:w="567" w:type="dxa"/>
            <w:textDirection w:val="btLr"/>
            <w:vAlign w:val="center"/>
          </w:tcPr>
          <w:p w:rsidR="00EF7D77" w:rsidRPr="008F48EE" w:rsidRDefault="00EF7D77" w:rsidP="001A2AC1">
            <w:pPr>
              <w:ind w:left="113" w:right="113" w:firstLine="0"/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Объем</w:t>
            </w:r>
          </w:p>
          <w:p w:rsidR="00EF7D77" w:rsidRPr="008F48EE" w:rsidRDefault="00EF7D77" w:rsidP="001A2AC1">
            <w:pPr>
              <w:ind w:left="113" w:right="113" w:firstLine="0"/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(куб.м.)</w:t>
            </w:r>
          </w:p>
        </w:tc>
        <w:tc>
          <w:tcPr>
            <w:tcW w:w="567" w:type="dxa"/>
            <w:textDirection w:val="btLr"/>
            <w:vAlign w:val="center"/>
          </w:tcPr>
          <w:p w:rsidR="00EF7D77" w:rsidRPr="008F48EE" w:rsidRDefault="00C2658E" w:rsidP="001A2AC1">
            <w:pPr>
              <w:ind w:left="113" w:right="113" w:firstLine="0"/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*</w:t>
            </w:r>
            <w:r w:rsidR="00EF7D77" w:rsidRPr="008F48EE">
              <w:rPr>
                <w:sz w:val="16"/>
                <w:szCs w:val="16"/>
              </w:rPr>
              <w:t xml:space="preserve">Стоимость </w:t>
            </w:r>
            <w:r w:rsidRPr="008F48EE">
              <w:rPr>
                <w:sz w:val="16"/>
                <w:szCs w:val="16"/>
              </w:rPr>
              <w:t>1 куб.м./кв.м. по УПВС</w:t>
            </w:r>
          </w:p>
          <w:p w:rsidR="00C2658E" w:rsidRPr="008F48EE" w:rsidRDefault="00C2658E" w:rsidP="001A2AC1">
            <w:pPr>
              <w:ind w:left="113" w:right="113" w:firstLine="0"/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(сом)</w:t>
            </w:r>
          </w:p>
        </w:tc>
        <w:tc>
          <w:tcPr>
            <w:tcW w:w="709" w:type="dxa"/>
            <w:textDirection w:val="btLr"/>
            <w:vAlign w:val="center"/>
          </w:tcPr>
          <w:p w:rsidR="00EF7D77" w:rsidRPr="008F48EE" w:rsidRDefault="00C2658E" w:rsidP="001A2AC1">
            <w:pPr>
              <w:ind w:left="113" w:right="113" w:firstLine="0"/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**Восстановительная стоимость</w:t>
            </w:r>
          </w:p>
          <w:p w:rsidR="00C2658E" w:rsidRPr="008F48EE" w:rsidRDefault="00C2658E" w:rsidP="001A2AC1">
            <w:pPr>
              <w:ind w:left="113" w:right="113" w:firstLine="0"/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1 куб.м. здания</w:t>
            </w:r>
          </w:p>
          <w:p w:rsidR="00C2658E" w:rsidRPr="008F48EE" w:rsidRDefault="00C2658E" w:rsidP="001A2AC1">
            <w:pPr>
              <w:ind w:left="113" w:right="113" w:firstLine="0"/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(сом)</w:t>
            </w:r>
          </w:p>
        </w:tc>
        <w:tc>
          <w:tcPr>
            <w:tcW w:w="567" w:type="dxa"/>
            <w:textDirection w:val="btLr"/>
            <w:vAlign w:val="center"/>
          </w:tcPr>
          <w:p w:rsidR="00C2658E" w:rsidRPr="008F48EE" w:rsidRDefault="00C2658E" w:rsidP="001A2AC1">
            <w:pPr>
              <w:ind w:left="113" w:right="113" w:firstLine="0"/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Стоимость воссоздания объекта</w:t>
            </w:r>
          </w:p>
          <w:p w:rsidR="00EF7D77" w:rsidRPr="008F48EE" w:rsidRDefault="00C2658E" w:rsidP="001A2AC1">
            <w:pPr>
              <w:ind w:left="113" w:right="113" w:firstLine="0"/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(сом)</w:t>
            </w:r>
          </w:p>
        </w:tc>
        <w:tc>
          <w:tcPr>
            <w:tcW w:w="567" w:type="dxa"/>
            <w:textDirection w:val="btLr"/>
            <w:vAlign w:val="center"/>
          </w:tcPr>
          <w:p w:rsidR="00EF7D77" w:rsidRPr="008F48EE" w:rsidRDefault="00C2658E" w:rsidP="001A2AC1">
            <w:pPr>
              <w:ind w:left="113" w:right="113" w:firstLine="0"/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**Физ.износ на дату переоценки</w:t>
            </w:r>
          </w:p>
          <w:p w:rsidR="00C2658E" w:rsidRPr="008F48EE" w:rsidRDefault="00C2658E" w:rsidP="001A2AC1">
            <w:pPr>
              <w:ind w:left="113" w:right="113" w:firstLine="0"/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(%)</w:t>
            </w:r>
          </w:p>
        </w:tc>
        <w:tc>
          <w:tcPr>
            <w:tcW w:w="425" w:type="dxa"/>
            <w:textDirection w:val="btLr"/>
            <w:vAlign w:val="center"/>
          </w:tcPr>
          <w:p w:rsidR="00EF7D77" w:rsidRPr="008F48EE" w:rsidRDefault="00C2658E" w:rsidP="001A2AC1">
            <w:pPr>
              <w:ind w:left="113" w:right="113" w:firstLine="0"/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Сумма физ.изноаса (сом)</w:t>
            </w:r>
          </w:p>
        </w:tc>
        <w:tc>
          <w:tcPr>
            <w:tcW w:w="567" w:type="dxa"/>
            <w:textDirection w:val="btLr"/>
            <w:vAlign w:val="center"/>
          </w:tcPr>
          <w:p w:rsidR="00C2658E" w:rsidRPr="008F48EE" w:rsidRDefault="00C2658E" w:rsidP="001A2AC1">
            <w:pPr>
              <w:ind w:left="113" w:right="113" w:firstLine="0"/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Переоцененная стоимость строения</w:t>
            </w:r>
          </w:p>
          <w:p w:rsidR="00EF7D77" w:rsidRPr="008F48EE" w:rsidRDefault="00C2658E" w:rsidP="001A2AC1">
            <w:pPr>
              <w:ind w:left="113" w:right="113" w:firstLine="0"/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(сом)</w:t>
            </w:r>
          </w:p>
        </w:tc>
        <w:tc>
          <w:tcPr>
            <w:tcW w:w="709" w:type="dxa"/>
            <w:textDirection w:val="btLr"/>
            <w:vAlign w:val="center"/>
          </w:tcPr>
          <w:p w:rsidR="00EF7D77" w:rsidRPr="008F48EE" w:rsidRDefault="00C2658E" w:rsidP="001A2AC1">
            <w:pPr>
              <w:ind w:left="113" w:right="113" w:firstLine="0"/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Переоцененная  стоимость 1 кв.м.</w:t>
            </w:r>
          </w:p>
          <w:p w:rsidR="00C2658E" w:rsidRPr="008F48EE" w:rsidRDefault="00C2658E" w:rsidP="001A2AC1">
            <w:pPr>
              <w:ind w:left="113" w:right="113" w:firstLine="0"/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(сом)</w:t>
            </w:r>
          </w:p>
        </w:tc>
        <w:tc>
          <w:tcPr>
            <w:tcW w:w="567" w:type="dxa"/>
            <w:textDirection w:val="btLr"/>
            <w:vAlign w:val="center"/>
          </w:tcPr>
          <w:p w:rsidR="00EF7D77" w:rsidRPr="008F48EE" w:rsidRDefault="00C2658E" w:rsidP="001A2AC1">
            <w:pPr>
              <w:ind w:left="113" w:right="113" w:firstLine="0"/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Стоимость 1сотки зем.участка</w:t>
            </w:r>
          </w:p>
          <w:p w:rsidR="00C2658E" w:rsidRPr="008F48EE" w:rsidRDefault="00C2658E" w:rsidP="001A2AC1">
            <w:pPr>
              <w:ind w:left="113" w:right="113" w:firstLine="0"/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(сом)</w:t>
            </w:r>
          </w:p>
        </w:tc>
        <w:tc>
          <w:tcPr>
            <w:tcW w:w="567" w:type="dxa"/>
            <w:textDirection w:val="btLr"/>
            <w:vAlign w:val="center"/>
          </w:tcPr>
          <w:p w:rsidR="00EF7D77" w:rsidRPr="008F48EE" w:rsidRDefault="00C2658E" w:rsidP="001A2AC1">
            <w:pPr>
              <w:ind w:left="113" w:right="113" w:firstLine="0"/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Площадь зем.участка</w:t>
            </w:r>
          </w:p>
          <w:p w:rsidR="00C2658E" w:rsidRPr="008F48EE" w:rsidRDefault="00C2658E" w:rsidP="001A2AC1">
            <w:pPr>
              <w:ind w:left="113" w:right="113" w:firstLine="0"/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(сотка)</w:t>
            </w:r>
          </w:p>
        </w:tc>
        <w:tc>
          <w:tcPr>
            <w:tcW w:w="425" w:type="dxa"/>
            <w:textDirection w:val="btLr"/>
            <w:vAlign w:val="center"/>
          </w:tcPr>
          <w:p w:rsidR="00EF7D77" w:rsidRPr="008F48EE" w:rsidRDefault="00C2658E" w:rsidP="001A2AC1">
            <w:pPr>
              <w:ind w:left="113" w:right="113" w:firstLine="0"/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Стоимость зем.участка</w:t>
            </w:r>
          </w:p>
          <w:p w:rsidR="00C2658E" w:rsidRPr="008F48EE" w:rsidRDefault="00C2658E" w:rsidP="001A2AC1">
            <w:pPr>
              <w:ind w:left="113" w:right="113" w:firstLine="0"/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(сом)</w:t>
            </w:r>
          </w:p>
        </w:tc>
        <w:tc>
          <w:tcPr>
            <w:tcW w:w="674" w:type="dxa"/>
            <w:textDirection w:val="btLr"/>
            <w:vAlign w:val="center"/>
          </w:tcPr>
          <w:p w:rsidR="00EF7D77" w:rsidRPr="008F48EE" w:rsidRDefault="008F48EE" w:rsidP="001A2AC1">
            <w:pPr>
              <w:ind w:left="113" w:right="113" w:firstLine="0"/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Итоговая переоценненная</w:t>
            </w:r>
          </w:p>
          <w:p w:rsidR="008F48EE" w:rsidRPr="008F48EE" w:rsidRDefault="008F48EE" w:rsidP="001A2AC1">
            <w:pPr>
              <w:ind w:left="113" w:right="113" w:firstLine="0"/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Стоимость объекта</w:t>
            </w:r>
          </w:p>
          <w:p w:rsidR="008F48EE" w:rsidRPr="008F48EE" w:rsidRDefault="008F48EE" w:rsidP="001A2AC1">
            <w:pPr>
              <w:ind w:left="113" w:right="113" w:firstLine="0"/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(сом)</w:t>
            </w:r>
          </w:p>
        </w:tc>
      </w:tr>
      <w:tr w:rsidR="00C2658E" w:rsidTr="00727C82">
        <w:trPr>
          <w:trHeight w:val="376"/>
        </w:trPr>
        <w:tc>
          <w:tcPr>
            <w:tcW w:w="392" w:type="dxa"/>
            <w:vAlign w:val="bottom"/>
          </w:tcPr>
          <w:p w:rsidR="00EF7D77" w:rsidRDefault="00C2658E" w:rsidP="001A2A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EF7D77" w:rsidRDefault="00C2658E" w:rsidP="001A2A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EF7D77" w:rsidRDefault="00C2658E" w:rsidP="001A2A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EF7D77" w:rsidRDefault="00C2658E" w:rsidP="001A2A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bottom"/>
          </w:tcPr>
          <w:p w:rsidR="00EF7D77" w:rsidRDefault="00C2658E" w:rsidP="001A2A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bottom"/>
          </w:tcPr>
          <w:p w:rsidR="00EF7D77" w:rsidRDefault="00C2658E" w:rsidP="001A2A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bottom"/>
          </w:tcPr>
          <w:p w:rsidR="00EF7D77" w:rsidRDefault="00C2658E" w:rsidP="001A2A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bottom"/>
          </w:tcPr>
          <w:p w:rsidR="00EF7D77" w:rsidRDefault="00C2658E" w:rsidP="001A2A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bottom"/>
          </w:tcPr>
          <w:p w:rsidR="00EF7D77" w:rsidRDefault="00C2658E" w:rsidP="001A2A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bottom"/>
          </w:tcPr>
          <w:p w:rsidR="00EF7D77" w:rsidRDefault="00C2658E" w:rsidP="001A2A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EF7D77" w:rsidRDefault="00C2658E" w:rsidP="001A2A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bottom"/>
          </w:tcPr>
          <w:p w:rsidR="00EF7D77" w:rsidRDefault="00C2658E" w:rsidP="001A2A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bottom"/>
          </w:tcPr>
          <w:p w:rsidR="00EF7D77" w:rsidRDefault="00C2658E" w:rsidP="001A2A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bottom"/>
          </w:tcPr>
          <w:p w:rsidR="00EF7D77" w:rsidRDefault="00C2658E" w:rsidP="001A2A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bottom"/>
          </w:tcPr>
          <w:p w:rsidR="00EF7D77" w:rsidRDefault="00C2658E" w:rsidP="001A2A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bottom"/>
          </w:tcPr>
          <w:p w:rsidR="00EF7D77" w:rsidRDefault="00C2658E" w:rsidP="001A2A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bottom"/>
          </w:tcPr>
          <w:p w:rsidR="00EF7D77" w:rsidRDefault="00C2658E" w:rsidP="001A2A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74" w:type="dxa"/>
            <w:vAlign w:val="bottom"/>
          </w:tcPr>
          <w:p w:rsidR="00EF7D77" w:rsidRDefault="00C2658E" w:rsidP="001A2A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2658E" w:rsidTr="008F48EE">
        <w:tc>
          <w:tcPr>
            <w:tcW w:w="392" w:type="dxa"/>
          </w:tcPr>
          <w:p w:rsidR="00EF7D77" w:rsidRDefault="00EF7D77" w:rsidP="006673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F7D77" w:rsidRDefault="00EF7D77" w:rsidP="006673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F7D77" w:rsidRDefault="00EF7D77" w:rsidP="006673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F7D77" w:rsidRDefault="00EF7D77" w:rsidP="006673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F7D77" w:rsidRDefault="00EF7D77" w:rsidP="006673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F7D77" w:rsidRDefault="00EF7D77" w:rsidP="006673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F7D77" w:rsidRDefault="00EF7D77" w:rsidP="006673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F7D77" w:rsidRDefault="00EF7D77" w:rsidP="006673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F7D77" w:rsidRDefault="00EF7D77" w:rsidP="006673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F7D77" w:rsidRDefault="00EF7D77" w:rsidP="006673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F7D77" w:rsidRDefault="00EF7D77" w:rsidP="006673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F7D77" w:rsidRDefault="00EF7D77" w:rsidP="006673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F7D77" w:rsidRDefault="00EF7D77" w:rsidP="006673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F7D77" w:rsidRDefault="00EF7D77" w:rsidP="006673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F7D77" w:rsidRDefault="00EF7D77" w:rsidP="006673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F7D77" w:rsidRDefault="00EF7D77" w:rsidP="006673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F7D77" w:rsidRDefault="00EF7D77" w:rsidP="006673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EF7D77" w:rsidRDefault="00EF7D77" w:rsidP="00667391">
            <w:pPr>
              <w:ind w:firstLine="0"/>
              <w:rPr>
                <w:sz w:val="20"/>
                <w:szCs w:val="20"/>
              </w:rPr>
            </w:pPr>
          </w:p>
        </w:tc>
      </w:tr>
      <w:tr w:rsidR="008F48EE" w:rsidTr="008F48EE">
        <w:tc>
          <w:tcPr>
            <w:tcW w:w="392" w:type="dxa"/>
          </w:tcPr>
          <w:p w:rsidR="008F48EE" w:rsidRDefault="008F48EE" w:rsidP="006673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8F48EE" w:rsidRPr="008F48EE" w:rsidRDefault="00727C82" w:rsidP="00667391">
            <w:pPr>
              <w:ind w:firstLine="0"/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ИТОГО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25" w:type="dxa"/>
          </w:tcPr>
          <w:p w:rsidR="008F48EE" w:rsidRDefault="008F48EE" w:rsidP="006673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F48EE" w:rsidRDefault="008F48EE" w:rsidP="006673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F48EE" w:rsidRDefault="008F48EE" w:rsidP="006673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F48EE" w:rsidRDefault="008F48EE" w:rsidP="006673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F48EE" w:rsidRDefault="008F48EE" w:rsidP="006673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F48EE" w:rsidRDefault="008F48EE" w:rsidP="006673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F48EE" w:rsidRDefault="008F48EE" w:rsidP="006673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F48EE" w:rsidRDefault="008F48EE" w:rsidP="006673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F48EE" w:rsidRDefault="008F48EE" w:rsidP="006673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F48EE" w:rsidRDefault="008F48EE" w:rsidP="006673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F48EE" w:rsidRDefault="008F48EE" w:rsidP="006673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F48EE" w:rsidRDefault="008F48EE" w:rsidP="006673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F48EE" w:rsidRDefault="008F48EE" w:rsidP="006673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8F48EE" w:rsidRDefault="008F48EE" w:rsidP="00667391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667391" w:rsidRDefault="00667391" w:rsidP="00667391">
      <w:pPr>
        <w:ind w:firstLine="0"/>
        <w:rPr>
          <w:sz w:val="20"/>
          <w:szCs w:val="20"/>
        </w:rPr>
      </w:pPr>
    </w:p>
    <w:p w:rsidR="008F48EE" w:rsidRPr="00CC694B" w:rsidRDefault="004364FE" w:rsidP="004364FE">
      <w:pPr>
        <w:pStyle w:val="20"/>
        <w:shd w:val="clear" w:color="auto" w:fill="auto"/>
        <w:spacing w:before="0" w:after="0" w:line="240" w:lineRule="auto"/>
        <w:ind w:right="159" w:firstLine="238"/>
        <w:rPr>
          <w:sz w:val="28"/>
          <w:szCs w:val="28"/>
        </w:rPr>
      </w:pPr>
      <w:r w:rsidRPr="00CC694B">
        <w:rPr>
          <w:sz w:val="28"/>
          <w:szCs w:val="28"/>
        </w:rPr>
        <w:t>*</w:t>
      </w:r>
      <w:r>
        <w:rPr>
          <w:sz w:val="28"/>
          <w:szCs w:val="28"/>
        </w:rPr>
        <w:t xml:space="preserve">- </w:t>
      </w:r>
      <w:r w:rsidR="008F48EE" w:rsidRPr="00CC694B">
        <w:rPr>
          <w:sz w:val="28"/>
          <w:szCs w:val="28"/>
        </w:rPr>
        <w:t xml:space="preserve">Стоимость куб.м./кв.м по УПВС - Сборнику укрупненных показателей восстановительной стоимости (УПВС) зданий и сооружений, имеющемуся в бюджетных организациях и учреждениях для переоценки основных фондов, </w:t>
      </w:r>
      <w:r w:rsidRPr="00CC694B">
        <w:rPr>
          <w:sz w:val="28"/>
          <w:szCs w:val="28"/>
        </w:rPr>
        <w:t>утверждённому</w:t>
      </w:r>
      <w:r w:rsidR="008F48EE" w:rsidRPr="00CC694B">
        <w:rPr>
          <w:sz w:val="28"/>
          <w:szCs w:val="28"/>
        </w:rPr>
        <w:t xml:space="preserve"> Государственным комитетом Совета Министров СССР по делам строительства.</w:t>
      </w:r>
    </w:p>
    <w:p w:rsidR="008F48EE" w:rsidRPr="00CC694B" w:rsidRDefault="008F48EE" w:rsidP="004364FE">
      <w:pPr>
        <w:pStyle w:val="20"/>
        <w:shd w:val="clear" w:color="auto" w:fill="auto"/>
        <w:spacing w:before="0" w:after="0" w:line="240" w:lineRule="auto"/>
        <w:ind w:right="159" w:firstLine="238"/>
        <w:rPr>
          <w:sz w:val="28"/>
          <w:szCs w:val="28"/>
        </w:rPr>
      </w:pPr>
      <w:r w:rsidRPr="00CC694B">
        <w:rPr>
          <w:sz w:val="28"/>
          <w:szCs w:val="28"/>
        </w:rPr>
        <w:t>**-</w:t>
      </w:r>
      <w:r w:rsidR="004364FE">
        <w:rPr>
          <w:sz w:val="28"/>
          <w:szCs w:val="28"/>
        </w:rPr>
        <w:t xml:space="preserve"> </w:t>
      </w:r>
      <w:r w:rsidRPr="00CC694B">
        <w:rPr>
          <w:sz w:val="28"/>
          <w:szCs w:val="28"/>
        </w:rPr>
        <w:t xml:space="preserve">Восстановительная стоимость 1 куб. м. здания - </w:t>
      </w:r>
      <w:r w:rsidR="004364FE" w:rsidRPr="00CC694B">
        <w:rPr>
          <w:sz w:val="28"/>
          <w:szCs w:val="28"/>
        </w:rPr>
        <w:t>Расчёт</w:t>
      </w:r>
      <w:r w:rsidRPr="00CC694B">
        <w:rPr>
          <w:sz w:val="28"/>
          <w:szCs w:val="28"/>
        </w:rPr>
        <w:t xml:space="preserve"> стоимости улучшений индексным методом. При определении стоимости воспроизводства оцениваемого объекта используются удельные стоимостные показатели в уровне цен 1969 года на единицу строительного </w:t>
      </w:r>
      <w:r w:rsidR="004364FE" w:rsidRPr="00CC694B">
        <w:rPr>
          <w:sz w:val="28"/>
          <w:szCs w:val="28"/>
        </w:rPr>
        <w:t>объёма</w:t>
      </w:r>
      <w:r w:rsidRPr="00CC694B">
        <w:rPr>
          <w:sz w:val="28"/>
          <w:szCs w:val="28"/>
        </w:rPr>
        <w:t>, а также</w:t>
      </w:r>
      <w:r w:rsidR="004364FE">
        <w:rPr>
          <w:sz w:val="28"/>
          <w:szCs w:val="28"/>
        </w:rPr>
        <w:t xml:space="preserve"> </w:t>
      </w:r>
      <w:r w:rsidRPr="00CC694B">
        <w:rPr>
          <w:sz w:val="28"/>
          <w:szCs w:val="28"/>
        </w:rPr>
        <w:t xml:space="preserve">индексы изменения стоимости строительства для </w:t>
      </w:r>
      <w:r w:rsidR="004364FE" w:rsidRPr="00CC694B">
        <w:rPr>
          <w:sz w:val="28"/>
          <w:szCs w:val="28"/>
        </w:rPr>
        <w:t>пересчёта</w:t>
      </w:r>
      <w:r w:rsidRPr="00CC694B">
        <w:rPr>
          <w:sz w:val="28"/>
          <w:szCs w:val="28"/>
        </w:rPr>
        <w:t xml:space="preserve"> этих показателей в уровень цен на дату переоценки. В качестве базисных стоимостей использованы </w:t>
      </w:r>
      <w:r w:rsidR="00C36F06" w:rsidRPr="00CC694B">
        <w:rPr>
          <w:sz w:val="28"/>
          <w:szCs w:val="28"/>
        </w:rPr>
        <w:t>укрупнённые</w:t>
      </w:r>
      <w:r w:rsidRPr="00CC694B">
        <w:rPr>
          <w:sz w:val="28"/>
          <w:szCs w:val="28"/>
        </w:rPr>
        <w:t xml:space="preserve"> показатели восстановительной стоимости (Сборники УПВС).</w:t>
      </w:r>
    </w:p>
    <w:p w:rsidR="008F48EE" w:rsidRPr="00CC694B" w:rsidRDefault="008F48EE" w:rsidP="008F48EE">
      <w:pPr>
        <w:pStyle w:val="20"/>
        <w:shd w:val="clear" w:color="auto" w:fill="auto"/>
        <w:spacing w:before="0" w:after="0"/>
        <w:ind w:right="180" w:firstLine="620"/>
        <w:rPr>
          <w:sz w:val="28"/>
          <w:szCs w:val="28"/>
        </w:rPr>
      </w:pPr>
      <w:r w:rsidRPr="00CC694B">
        <w:rPr>
          <w:sz w:val="28"/>
          <w:szCs w:val="28"/>
        </w:rPr>
        <w:lastRenderedPageBreak/>
        <w:t>Индексы удельных, капитальных вложений применяются согласно данным уполномоченного государственного органа по архитектуре и строительству:</w:t>
      </w:r>
    </w:p>
    <w:p w:rsidR="008F48EE" w:rsidRPr="00CC694B" w:rsidRDefault="00C36F06" w:rsidP="00C36F06">
      <w:pPr>
        <w:pStyle w:val="20"/>
        <w:shd w:val="clear" w:color="auto" w:fill="auto"/>
        <w:tabs>
          <w:tab w:val="left" w:pos="644"/>
        </w:tabs>
        <w:spacing w:before="0" w:after="0"/>
        <w:ind w:right="180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8F48EE" w:rsidRPr="00CC694B">
        <w:rPr>
          <w:sz w:val="28"/>
          <w:szCs w:val="28"/>
        </w:rPr>
        <w:t xml:space="preserve">индекс </w:t>
      </w:r>
      <w:r w:rsidRPr="00CC694B">
        <w:rPr>
          <w:sz w:val="28"/>
          <w:szCs w:val="28"/>
        </w:rPr>
        <w:t>пересчёта</w:t>
      </w:r>
      <w:r w:rsidR="008F48EE" w:rsidRPr="00CC694B">
        <w:rPr>
          <w:sz w:val="28"/>
          <w:szCs w:val="28"/>
        </w:rPr>
        <w:t xml:space="preserve"> строительных работ в ценах 1969 года к уровню цен 1984 года -1,2;</w:t>
      </w:r>
    </w:p>
    <w:p w:rsidR="008F48EE" w:rsidRPr="00CC694B" w:rsidRDefault="00C36F06" w:rsidP="00C36F06">
      <w:pPr>
        <w:pStyle w:val="20"/>
        <w:shd w:val="clear" w:color="auto" w:fill="auto"/>
        <w:tabs>
          <w:tab w:val="left" w:pos="644"/>
        </w:tabs>
        <w:spacing w:before="0" w:after="0"/>
        <w:ind w:right="180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8F48EE" w:rsidRPr="00CC694B">
        <w:rPr>
          <w:sz w:val="28"/>
          <w:szCs w:val="28"/>
        </w:rPr>
        <w:t xml:space="preserve">индекс </w:t>
      </w:r>
      <w:r w:rsidRPr="00CC694B">
        <w:rPr>
          <w:sz w:val="28"/>
          <w:szCs w:val="28"/>
        </w:rPr>
        <w:t>пересчёта</w:t>
      </w:r>
      <w:r w:rsidR="008F48EE" w:rsidRPr="00CC694B">
        <w:rPr>
          <w:sz w:val="28"/>
          <w:szCs w:val="28"/>
        </w:rPr>
        <w:t xml:space="preserve"> строительных работ в ценах 1984 года к уровню цен 1991 года -1,6;</w:t>
      </w:r>
    </w:p>
    <w:p w:rsidR="008F48EE" w:rsidRPr="00CC694B" w:rsidRDefault="00C36F06" w:rsidP="00C36F06">
      <w:pPr>
        <w:pStyle w:val="20"/>
        <w:shd w:val="clear" w:color="auto" w:fill="auto"/>
        <w:tabs>
          <w:tab w:val="left" w:pos="644"/>
        </w:tabs>
        <w:spacing w:before="0" w:after="0"/>
        <w:ind w:right="180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8F48EE" w:rsidRPr="00CC694B">
        <w:rPr>
          <w:sz w:val="28"/>
          <w:szCs w:val="28"/>
        </w:rPr>
        <w:t xml:space="preserve">индекс изменения </w:t>
      </w:r>
      <w:r w:rsidRPr="00CC694B">
        <w:rPr>
          <w:sz w:val="28"/>
          <w:szCs w:val="28"/>
        </w:rPr>
        <w:t>объёмов</w:t>
      </w:r>
      <w:r w:rsidR="008F48EE" w:rsidRPr="00CC694B">
        <w:rPr>
          <w:sz w:val="28"/>
          <w:szCs w:val="28"/>
        </w:rPr>
        <w:t xml:space="preserve"> капитальных вложений уполномоченного государственного органа по архитектуре и строительству применяется на дату переоценки последней обновл</w:t>
      </w:r>
      <w:r w:rsidR="00BC3FFD">
        <w:rPr>
          <w:sz w:val="28"/>
          <w:szCs w:val="28"/>
        </w:rPr>
        <w:t>ё</w:t>
      </w:r>
      <w:r w:rsidR="008F48EE" w:rsidRPr="00CC694B">
        <w:rPr>
          <w:sz w:val="28"/>
          <w:szCs w:val="28"/>
        </w:rPr>
        <w:t>нной версии на оцениваемый период - индекс обновляется 1 раз в квартал;</w:t>
      </w:r>
    </w:p>
    <w:p w:rsidR="008F48EE" w:rsidRDefault="00C36F06" w:rsidP="00C36F06">
      <w:pPr>
        <w:pStyle w:val="20"/>
        <w:shd w:val="clear" w:color="auto" w:fill="auto"/>
        <w:tabs>
          <w:tab w:val="left" w:pos="644"/>
        </w:tabs>
        <w:spacing w:before="0" w:after="0"/>
        <w:ind w:right="180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8F48EE" w:rsidRPr="00CC694B">
        <w:rPr>
          <w:sz w:val="28"/>
          <w:szCs w:val="28"/>
        </w:rPr>
        <w:t>индекс 200 - перевод цены с рубля в сом.</w:t>
      </w:r>
    </w:p>
    <w:p w:rsidR="00CE55C9" w:rsidRDefault="00CE55C9" w:rsidP="00C36F06">
      <w:pPr>
        <w:pStyle w:val="20"/>
        <w:shd w:val="clear" w:color="auto" w:fill="auto"/>
        <w:tabs>
          <w:tab w:val="left" w:pos="644"/>
        </w:tabs>
        <w:spacing w:before="0" w:after="0"/>
        <w:ind w:right="180"/>
        <w:rPr>
          <w:sz w:val="28"/>
          <w:szCs w:val="28"/>
        </w:rPr>
      </w:pPr>
    </w:p>
    <w:tbl>
      <w:tblPr>
        <w:tblpPr w:leftFromText="180" w:rightFromText="180" w:vertAnchor="text" w:horzAnchor="margin" w:tblpY="689"/>
        <w:tblOverlap w:val="never"/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2776"/>
        <w:gridCol w:w="4878"/>
      </w:tblGrid>
      <w:tr w:rsidR="008F48EE" w:rsidRPr="00CC694B" w:rsidTr="008A0769">
        <w:trPr>
          <w:trHeight w:hRule="exact" w:val="55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8EE" w:rsidRPr="008F48EE" w:rsidRDefault="008F48EE" w:rsidP="008A0769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8F48EE">
              <w:rPr>
                <w:rStyle w:val="295pt"/>
                <w:rFonts w:eastAsia="Lucida Sans Unicode"/>
                <w:sz w:val="20"/>
                <w:szCs w:val="20"/>
              </w:rPr>
              <w:t>Физический износ %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8EE" w:rsidRPr="008F48EE" w:rsidRDefault="008F48EE" w:rsidP="008A0769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8F48EE">
              <w:rPr>
                <w:rStyle w:val="295pt"/>
                <w:rFonts w:eastAsia="Lucida Sans Unicode"/>
                <w:sz w:val="20"/>
                <w:szCs w:val="20"/>
              </w:rPr>
              <w:t>Переоценка физического состояния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8EE" w:rsidRPr="008F48EE" w:rsidRDefault="008F48EE" w:rsidP="008A0769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0"/>
                <w:szCs w:val="20"/>
              </w:rPr>
            </w:pPr>
            <w:r w:rsidRPr="008F48EE">
              <w:rPr>
                <w:rStyle w:val="295pt"/>
                <w:rFonts w:eastAsia="Lucida Sans Unicode"/>
                <w:sz w:val="20"/>
                <w:szCs w:val="20"/>
              </w:rPr>
              <w:t>Общая характеристика технического состояния</w:t>
            </w:r>
          </w:p>
        </w:tc>
      </w:tr>
      <w:tr w:rsidR="008F48EE" w:rsidRPr="00CC694B" w:rsidTr="008A0769">
        <w:trPr>
          <w:trHeight w:hRule="exact" w:val="85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8EE" w:rsidRPr="008F48EE" w:rsidRDefault="00C36F06" w:rsidP="008A0769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0</w:t>
            </w:r>
            <w:r w:rsidR="00BC3FFD">
              <w:rPr>
                <w:rStyle w:val="210pt"/>
              </w:rPr>
              <w:t>-</w:t>
            </w:r>
            <w:r w:rsidR="008F48EE" w:rsidRPr="008F48EE">
              <w:rPr>
                <w:rStyle w:val="210pt"/>
              </w:rPr>
              <w:t>20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8EE" w:rsidRPr="008F48EE" w:rsidRDefault="008F48EE" w:rsidP="008A0769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10pt"/>
              </w:rPr>
            </w:pPr>
            <w:r w:rsidRPr="008F48EE">
              <w:rPr>
                <w:rStyle w:val="210pt"/>
              </w:rPr>
              <w:t>Хорошее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8EE" w:rsidRPr="008F48EE" w:rsidRDefault="008F48EE" w:rsidP="008A0769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sz w:val="20"/>
                <w:szCs w:val="20"/>
              </w:rPr>
            </w:pPr>
            <w:r w:rsidRPr="008F48EE">
              <w:rPr>
                <w:rStyle w:val="210pt"/>
              </w:rPr>
              <w:t>Повреждений и деформаций нет. Есть отдельные неисправности, которые не влияют на эксплуатацию объекта и устраняются в процессе ремонта.</w:t>
            </w:r>
          </w:p>
        </w:tc>
      </w:tr>
      <w:tr w:rsidR="008F48EE" w:rsidRPr="00CC694B" w:rsidTr="008A0769">
        <w:trPr>
          <w:trHeight w:hRule="exact" w:val="56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8EE" w:rsidRPr="008F48EE" w:rsidRDefault="00BC3FFD" w:rsidP="008A0769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21-</w:t>
            </w:r>
            <w:r w:rsidR="008F48EE" w:rsidRPr="008F48EE">
              <w:rPr>
                <w:rStyle w:val="210pt"/>
              </w:rPr>
              <w:t>40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8EE" w:rsidRPr="008F48EE" w:rsidRDefault="008F48EE" w:rsidP="008A0769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10pt"/>
              </w:rPr>
            </w:pPr>
            <w:r w:rsidRPr="008F48EE">
              <w:rPr>
                <w:rStyle w:val="210pt"/>
              </w:rPr>
              <w:t>Удовлетворительное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8EE" w:rsidRPr="008F48EE" w:rsidRDefault="008F48EE" w:rsidP="008A0769">
            <w:pPr>
              <w:pStyle w:val="20"/>
              <w:shd w:val="clear" w:color="auto" w:fill="auto"/>
              <w:spacing w:before="0" w:after="0" w:line="187" w:lineRule="exact"/>
              <w:jc w:val="left"/>
              <w:rPr>
                <w:sz w:val="20"/>
                <w:szCs w:val="20"/>
              </w:rPr>
            </w:pPr>
            <w:r w:rsidRPr="008F48EE">
              <w:rPr>
                <w:rStyle w:val="210pt"/>
              </w:rPr>
              <w:t>Элементы здания в целом пригодны для эксплуатации, но требуют ремонта, целесообразного на этой стадии.</w:t>
            </w:r>
          </w:p>
        </w:tc>
      </w:tr>
      <w:tr w:rsidR="008F48EE" w:rsidRPr="00CC694B" w:rsidTr="008A0769">
        <w:trPr>
          <w:trHeight w:hRule="exact" w:val="57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8EE" w:rsidRPr="008F48EE" w:rsidRDefault="00BC3FFD" w:rsidP="008A0769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41-</w:t>
            </w:r>
            <w:r w:rsidR="008F48EE" w:rsidRPr="008F48EE">
              <w:rPr>
                <w:rStyle w:val="210pt"/>
              </w:rPr>
              <w:t>60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8EE" w:rsidRPr="008F48EE" w:rsidRDefault="008F48EE" w:rsidP="008A0769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10pt"/>
              </w:rPr>
            </w:pPr>
            <w:r w:rsidRPr="008F48EE">
              <w:rPr>
                <w:rStyle w:val="210pt"/>
              </w:rPr>
              <w:t>Неудовлетворительное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8EE" w:rsidRPr="008F48EE" w:rsidRDefault="008F48EE" w:rsidP="008A0769">
            <w:pPr>
              <w:pStyle w:val="20"/>
              <w:shd w:val="clear" w:color="auto" w:fill="auto"/>
              <w:spacing w:before="0" w:after="0" w:line="182" w:lineRule="exact"/>
              <w:jc w:val="left"/>
              <w:rPr>
                <w:sz w:val="20"/>
                <w:szCs w:val="20"/>
              </w:rPr>
            </w:pPr>
            <w:r w:rsidRPr="008F48EE">
              <w:rPr>
                <w:rStyle w:val="210pt"/>
              </w:rPr>
              <w:t>Эксплуатация элементов здания возможна только при условии проведения их ремонта.</w:t>
            </w:r>
          </w:p>
        </w:tc>
      </w:tr>
      <w:tr w:rsidR="008F48EE" w:rsidRPr="00CC694B" w:rsidTr="008A0769">
        <w:trPr>
          <w:trHeight w:hRule="exact" w:val="98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8EE" w:rsidRPr="008F48EE" w:rsidRDefault="00BC3FFD" w:rsidP="008A0769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61-</w:t>
            </w:r>
            <w:r w:rsidR="008F48EE" w:rsidRPr="008F48EE">
              <w:rPr>
                <w:rStyle w:val="210pt"/>
              </w:rPr>
              <w:t>80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8EE" w:rsidRPr="008F48EE" w:rsidRDefault="008F48EE" w:rsidP="008A0769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10pt"/>
              </w:rPr>
            </w:pPr>
            <w:r w:rsidRPr="008F48EE">
              <w:rPr>
                <w:rStyle w:val="210pt"/>
              </w:rPr>
              <w:t>Ветхое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8EE" w:rsidRPr="008F48EE" w:rsidRDefault="008F48EE" w:rsidP="008A0769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sz w:val="20"/>
                <w:szCs w:val="20"/>
              </w:rPr>
            </w:pPr>
            <w:r w:rsidRPr="00054C48">
              <w:rPr>
                <w:rStyle w:val="210pt"/>
                <w:shd w:val="clear" w:color="auto" w:fill="FFFFFF" w:themeFill="background1"/>
              </w:rPr>
              <w:t>Состояние несущих конструктивных элементов аварийное, не несущих - очень ветхое. Ограниченное выполнение элементами своих функций возможно при проведении охранных</w:t>
            </w:r>
            <w:r w:rsidRPr="008F48EE">
              <w:rPr>
                <w:rStyle w:val="210pt"/>
              </w:rPr>
              <w:t xml:space="preserve"> мероприятий или полной замене этих элементов.</w:t>
            </w:r>
          </w:p>
        </w:tc>
      </w:tr>
      <w:tr w:rsidR="008F48EE" w:rsidRPr="00CC694B" w:rsidTr="008A0769">
        <w:trPr>
          <w:trHeight w:hRule="exact" w:val="85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8EE" w:rsidRPr="008F48EE" w:rsidRDefault="00BC3FFD" w:rsidP="008A0769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81-</w:t>
            </w:r>
            <w:r w:rsidR="008F48EE" w:rsidRPr="008F48EE">
              <w:rPr>
                <w:rStyle w:val="210pt"/>
              </w:rPr>
              <w:t>100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8EE" w:rsidRPr="008F48EE" w:rsidRDefault="008F48EE" w:rsidP="008A0769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10pt"/>
              </w:rPr>
            </w:pPr>
            <w:r w:rsidRPr="008F48EE">
              <w:rPr>
                <w:rStyle w:val="210pt"/>
              </w:rPr>
              <w:t>Непригодное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8EE" w:rsidRPr="008F48EE" w:rsidRDefault="008F48EE" w:rsidP="008A0769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sz w:val="20"/>
                <w:szCs w:val="20"/>
              </w:rPr>
            </w:pPr>
            <w:r w:rsidRPr="008F48EE">
              <w:rPr>
                <w:rStyle w:val="210pt"/>
              </w:rPr>
              <w:t>Элементы здания находятся в разрушенном состоянии. При 100 % износе остатки элемента полностью ликвидированы.</w:t>
            </w:r>
          </w:p>
        </w:tc>
      </w:tr>
    </w:tbl>
    <w:p w:rsidR="008F48EE" w:rsidRPr="00CC694B" w:rsidRDefault="008F48EE" w:rsidP="00C36F06">
      <w:pPr>
        <w:pStyle w:val="20"/>
        <w:shd w:val="clear" w:color="auto" w:fill="auto"/>
        <w:spacing w:before="0" w:after="0"/>
        <w:ind w:right="180" w:firstLine="620"/>
        <w:rPr>
          <w:sz w:val="28"/>
          <w:szCs w:val="28"/>
        </w:rPr>
      </w:pPr>
      <w:bookmarkStart w:id="7" w:name="bookmark6"/>
      <w:r w:rsidRPr="00CC694B">
        <w:rPr>
          <w:sz w:val="28"/>
          <w:szCs w:val="28"/>
        </w:rPr>
        <w:t>***</w:t>
      </w:r>
      <w:r w:rsidRPr="00C36F06">
        <w:rPr>
          <w:b/>
          <w:sz w:val="28"/>
          <w:szCs w:val="28"/>
        </w:rPr>
        <w:t>Шкала переоценки для определения физического износа</w:t>
      </w:r>
      <w:bookmarkEnd w:id="7"/>
    </w:p>
    <w:p w:rsidR="008F48EE" w:rsidRPr="00CE55C9" w:rsidRDefault="008F48EE" w:rsidP="00667391">
      <w:pPr>
        <w:ind w:firstLine="0"/>
        <w:rPr>
          <w:sz w:val="4"/>
          <w:szCs w:val="4"/>
        </w:rPr>
      </w:pPr>
    </w:p>
    <w:p w:rsidR="008F48EE" w:rsidRPr="008F48EE" w:rsidRDefault="008F48EE" w:rsidP="008F48EE">
      <w:pPr>
        <w:rPr>
          <w:sz w:val="20"/>
          <w:szCs w:val="20"/>
        </w:rPr>
      </w:pPr>
    </w:p>
    <w:p w:rsidR="008F48EE" w:rsidRPr="008F48EE" w:rsidRDefault="008F48EE" w:rsidP="008F48EE">
      <w:pPr>
        <w:rPr>
          <w:sz w:val="20"/>
          <w:szCs w:val="20"/>
        </w:rPr>
      </w:pPr>
    </w:p>
    <w:p w:rsidR="008F48EE" w:rsidRDefault="008F48EE" w:rsidP="00DD3E9C">
      <w:pPr>
        <w:pStyle w:val="20"/>
        <w:numPr>
          <w:ilvl w:val="0"/>
          <w:numId w:val="5"/>
        </w:numPr>
        <w:shd w:val="clear" w:color="auto" w:fill="auto"/>
        <w:tabs>
          <w:tab w:val="left" w:pos="1045"/>
        </w:tabs>
        <w:spacing w:before="0" w:after="0"/>
        <w:ind w:firstLine="620"/>
        <w:rPr>
          <w:sz w:val="28"/>
          <w:szCs w:val="28"/>
        </w:rPr>
      </w:pPr>
      <w:r w:rsidRPr="00CC694B">
        <w:rPr>
          <w:sz w:val="28"/>
          <w:szCs w:val="28"/>
        </w:rPr>
        <w:t>Стоимость земельного участка определяется сравнительным методом.</w:t>
      </w:r>
    </w:p>
    <w:p w:rsidR="00CE55C9" w:rsidRPr="00CC694B" w:rsidRDefault="00CE55C9" w:rsidP="00CE55C9">
      <w:pPr>
        <w:pStyle w:val="20"/>
        <w:shd w:val="clear" w:color="auto" w:fill="auto"/>
        <w:tabs>
          <w:tab w:val="left" w:pos="1045"/>
        </w:tabs>
        <w:spacing w:before="0" w:after="0"/>
        <w:ind w:left="620"/>
        <w:rPr>
          <w:sz w:val="28"/>
          <w:szCs w:val="28"/>
        </w:rPr>
      </w:pPr>
    </w:p>
    <w:p w:rsidR="008F48EE" w:rsidRDefault="008A0769" w:rsidP="008A0769">
      <w:pPr>
        <w:pStyle w:val="12"/>
        <w:shd w:val="clear" w:color="auto" w:fill="auto"/>
        <w:tabs>
          <w:tab w:val="left" w:pos="2360"/>
        </w:tabs>
        <w:spacing w:line="240" w:lineRule="auto"/>
        <w:rPr>
          <w:sz w:val="28"/>
          <w:szCs w:val="28"/>
        </w:rPr>
      </w:pPr>
      <w:bookmarkStart w:id="8" w:name="bookmark7"/>
      <w:r>
        <w:rPr>
          <w:sz w:val="28"/>
          <w:szCs w:val="28"/>
        </w:rPr>
        <w:t xml:space="preserve">4.  </w:t>
      </w:r>
      <w:r w:rsidR="008F48EE" w:rsidRPr="00CC694B">
        <w:rPr>
          <w:sz w:val="28"/>
          <w:szCs w:val="28"/>
        </w:rPr>
        <w:t>Заключение</w:t>
      </w:r>
      <w:bookmarkEnd w:id="8"/>
    </w:p>
    <w:p w:rsidR="008D2592" w:rsidRPr="008D2592" w:rsidRDefault="008D2592" w:rsidP="008A0769">
      <w:pPr>
        <w:pStyle w:val="12"/>
        <w:shd w:val="clear" w:color="auto" w:fill="auto"/>
        <w:tabs>
          <w:tab w:val="left" w:pos="2360"/>
        </w:tabs>
        <w:spacing w:line="240" w:lineRule="auto"/>
        <w:ind w:left="2000"/>
        <w:rPr>
          <w:sz w:val="16"/>
          <w:szCs w:val="16"/>
        </w:rPr>
      </w:pPr>
    </w:p>
    <w:p w:rsidR="008F48EE" w:rsidRDefault="008F48EE" w:rsidP="00CE55C9">
      <w:pPr>
        <w:pStyle w:val="20"/>
        <w:numPr>
          <w:ilvl w:val="0"/>
          <w:numId w:val="5"/>
        </w:numPr>
        <w:shd w:val="clear" w:color="auto" w:fill="auto"/>
        <w:tabs>
          <w:tab w:val="left" w:pos="1066"/>
        </w:tabs>
        <w:spacing w:before="0" w:after="0" w:line="240" w:lineRule="auto"/>
        <w:ind w:firstLine="620"/>
        <w:rPr>
          <w:sz w:val="28"/>
          <w:szCs w:val="28"/>
        </w:rPr>
      </w:pPr>
      <w:r w:rsidRPr="00CC694B">
        <w:rPr>
          <w:sz w:val="28"/>
          <w:szCs w:val="28"/>
        </w:rPr>
        <w:t>Проводить раз в три года предварительную переоценку для определения среднерыночной стоимости основных фондов и резу</w:t>
      </w:r>
      <w:r w:rsidR="00B36E75">
        <w:rPr>
          <w:sz w:val="28"/>
          <w:szCs w:val="28"/>
        </w:rPr>
        <w:t>льтаты вводить в Межведомственную</w:t>
      </w:r>
      <w:r w:rsidRPr="00CC694B">
        <w:rPr>
          <w:sz w:val="28"/>
          <w:szCs w:val="28"/>
        </w:rPr>
        <w:t xml:space="preserve"> автоматизированн</w:t>
      </w:r>
      <w:r w:rsidR="00B36E75">
        <w:rPr>
          <w:sz w:val="28"/>
          <w:szCs w:val="28"/>
        </w:rPr>
        <w:t>ую</w:t>
      </w:r>
      <w:r w:rsidRPr="00CC694B">
        <w:rPr>
          <w:sz w:val="28"/>
          <w:szCs w:val="28"/>
        </w:rPr>
        <w:t xml:space="preserve"> информационн</w:t>
      </w:r>
      <w:r w:rsidR="00B36E75">
        <w:rPr>
          <w:sz w:val="28"/>
          <w:szCs w:val="28"/>
        </w:rPr>
        <w:t>ую</w:t>
      </w:r>
      <w:r w:rsidRPr="00CC694B">
        <w:rPr>
          <w:sz w:val="28"/>
          <w:szCs w:val="28"/>
        </w:rPr>
        <w:t xml:space="preserve"> систем</w:t>
      </w:r>
      <w:r w:rsidR="00B36E75">
        <w:rPr>
          <w:sz w:val="28"/>
          <w:szCs w:val="28"/>
        </w:rPr>
        <w:t>у</w:t>
      </w:r>
      <w:r w:rsidRPr="00CC694B">
        <w:rPr>
          <w:sz w:val="28"/>
          <w:szCs w:val="28"/>
        </w:rPr>
        <w:t xml:space="preserve"> «Единый реестр государственного имущества Кыргызской Республики» не позднее 1 мая года, следующего за </w:t>
      </w:r>
      <w:r w:rsidR="00B36E75" w:rsidRPr="00CC694B">
        <w:rPr>
          <w:sz w:val="28"/>
          <w:szCs w:val="28"/>
        </w:rPr>
        <w:t>отчётным</w:t>
      </w:r>
      <w:r w:rsidR="00B36E75">
        <w:rPr>
          <w:sz w:val="28"/>
          <w:szCs w:val="28"/>
        </w:rPr>
        <w:t xml:space="preserve"> годом</w:t>
      </w:r>
      <w:r w:rsidRPr="00CC694B">
        <w:rPr>
          <w:sz w:val="28"/>
          <w:szCs w:val="28"/>
        </w:rPr>
        <w:t>.</w:t>
      </w:r>
    </w:p>
    <w:p w:rsidR="00CE55C9" w:rsidRPr="00CC694B" w:rsidRDefault="00CE55C9" w:rsidP="00CE55C9">
      <w:pPr>
        <w:pStyle w:val="20"/>
        <w:shd w:val="clear" w:color="auto" w:fill="auto"/>
        <w:tabs>
          <w:tab w:val="left" w:pos="1066"/>
        </w:tabs>
        <w:spacing w:before="0" w:after="0" w:line="240" w:lineRule="auto"/>
        <w:ind w:left="620"/>
        <w:rPr>
          <w:sz w:val="28"/>
          <w:szCs w:val="28"/>
        </w:rPr>
      </w:pPr>
    </w:p>
    <w:p w:rsidR="008F48EE" w:rsidRPr="008F48EE" w:rsidRDefault="008F48EE" w:rsidP="008F48EE">
      <w:pPr>
        <w:ind w:firstLine="0"/>
        <w:rPr>
          <w:sz w:val="20"/>
          <w:szCs w:val="20"/>
        </w:rPr>
      </w:pPr>
    </w:p>
    <w:p w:rsidR="00B36E75" w:rsidRDefault="00B36E75" w:rsidP="00391EAB">
      <w:pPr>
        <w:framePr w:h="12578" w:hRule="exact" w:wrap="auto" w:hAnchor="text" w:y="-1346"/>
        <w:rPr>
          <w:sz w:val="20"/>
          <w:szCs w:val="20"/>
        </w:rPr>
        <w:sectPr w:rsidR="00B36E75" w:rsidSect="008A0769">
          <w:pgSz w:w="11906" w:h="16838" w:code="9"/>
          <w:pgMar w:top="1134" w:right="1134" w:bottom="1134" w:left="1701" w:header="709" w:footer="709" w:gutter="0"/>
          <w:cols w:space="708"/>
          <w:docGrid w:linePitch="381"/>
        </w:sectPr>
      </w:pPr>
    </w:p>
    <w:p w:rsidR="008F48EE" w:rsidRPr="007C5ED2" w:rsidRDefault="008F48EE" w:rsidP="003B1FEB">
      <w:pPr>
        <w:pStyle w:val="30"/>
        <w:shd w:val="clear" w:color="auto" w:fill="auto"/>
        <w:spacing w:after="0" w:line="260" w:lineRule="exact"/>
        <w:jc w:val="center"/>
        <w:rPr>
          <w:sz w:val="28"/>
          <w:szCs w:val="28"/>
        </w:rPr>
      </w:pPr>
    </w:p>
    <w:sectPr w:rsidR="008F48EE" w:rsidRPr="007C5ED2" w:rsidSect="008A076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3B0" w:rsidRDefault="002E63B0" w:rsidP="00391EAB">
      <w:r>
        <w:separator/>
      </w:r>
    </w:p>
  </w:endnote>
  <w:endnote w:type="continuationSeparator" w:id="0">
    <w:p w:rsidR="002E63B0" w:rsidRDefault="002E63B0" w:rsidP="0039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3B0" w:rsidRDefault="002E63B0" w:rsidP="00391EAB">
      <w:r>
        <w:separator/>
      </w:r>
    </w:p>
  </w:footnote>
  <w:footnote w:type="continuationSeparator" w:id="0">
    <w:p w:rsidR="002E63B0" w:rsidRDefault="002E63B0" w:rsidP="00391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4D6F"/>
    <w:multiLevelType w:val="multilevel"/>
    <w:tmpl w:val="83B06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C3926"/>
    <w:multiLevelType w:val="multilevel"/>
    <w:tmpl w:val="66541F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901366"/>
    <w:multiLevelType w:val="multilevel"/>
    <w:tmpl w:val="AC420D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D21DF7"/>
    <w:multiLevelType w:val="multilevel"/>
    <w:tmpl w:val="83B06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161679"/>
    <w:multiLevelType w:val="multilevel"/>
    <w:tmpl w:val="945CF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1D3804"/>
    <w:multiLevelType w:val="multilevel"/>
    <w:tmpl w:val="8472A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CA7F53"/>
    <w:multiLevelType w:val="multilevel"/>
    <w:tmpl w:val="CCB4A3A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9254B6"/>
    <w:multiLevelType w:val="multilevel"/>
    <w:tmpl w:val="CCB4A3A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1C51CE"/>
    <w:multiLevelType w:val="multilevel"/>
    <w:tmpl w:val="14A459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B6"/>
    <w:rsid w:val="00015139"/>
    <w:rsid w:val="00032058"/>
    <w:rsid w:val="00045562"/>
    <w:rsid w:val="00054C48"/>
    <w:rsid w:val="001353A5"/>
    <w:rsid w:val="001A2AC1"/>
    <w:rsid w:val="001B0049"/>
    <w:rsid w:val="001D29C3"/>
    <w:rsid w:val="001D7DB2"/>
    <w:rsid w:val="002550B5"/>
    <w:rsid w:val="002914D7"/>
    <w:rsid w:val="002B7E82"/>
    <w:rsid w:val="002E375A"/>
    <w:rsid w:val="002E63B0"/>
    <w:rsid w:val="002F2B8A"/>
    <w:rsid w:val="00310E2B"/>
    <w:rsid w:val="00315D83"/>
    <w:rsid w:val="00391CE6"/>
    <w:rsid w:val="00391EAB"/>
    <w:rsid w:val="003927D8"/>
    <w:rsid w:val="003A4083"/>
    <w:rsid w:val="003A5CD3"/>
    <w:rsid w:val="003B1FEB"/>
    <w:rsid w:val="003F1DC3"/>
    <w:rsid w:val="004055B6"/>
    <w:rsid w:val="00423788"/>
    <w:rsid w:val="004364FE"/>
    <w:rsid w:val="00457C50"/>
    <w:rsid w:val="0047634F"/>
    <w:rsid w:val="00480971"/>
    <w:rsid w:val="004D3FBE"/>
    <w:rsid w:val="005F516F"/>
    <w:rsid w:val="006350AC"/>
    <w:rsid w:val="00667391"/>
    <w:rsid w:val="00671E73"/>
    <w:rsid w:val="006B132E"/>
    <w:rsid w:val="00723100"/>
    <w:rsid w:val="00727C82"/>
    <w:rsid w:val="0073712A"/>
    <w:rsid w:val="0076727F"/>
    <w:rsid w:val="007876D8"/>
    <w:rsid w:val="00787F81"/>
    <w:rsid w:val="007C5ED2"/>
    <w:rsid w:val="00842EE3"/>
    <w:rsid w:val="008A0769"/>
    <w:rsid w:val="008D142B"/>
    <w:rsid w:val="008D2592"/>
    <w:rsid w:val="008F48EE"/>
    <w:rsid w:val="00905150"/>
    <w:rsid w:val="0095281F"/>
    <w:rsid w:val="009B25F8"/>
    <w:rsid w:val="00A04169"/>
    <w:rsid w:val="00A1573B"/>
    <w:rsid w:val="00A30264"/>
    <w:rsid w:val="00A5628A"/>
    <w:rsid w:val="00A90BEE"/>
    <w:rsid w:val="00AC6CB4"/>
    <w:rsid w:val="00AD7F37"/>
    <w:rsid w:val="00B36E75"/>
    <w:rsid w:val="00BC3FFD"/>
    <w:rsid w:val="00BD1DC1"/>
    <w:rsid w:val="00C2658E"/>
    <w:rsid w:val="00C325B0"/>
    <w:rsid w:val="00C32839"/>
    <w:rsid w:val="00C36F06"/>
    <w:rsid w:val="00C46B5B"/>
    <w:rsid w:val="00CC3881"/>
    <w:rsid w:val="00CE55C9"/>
    <w:rsid w:val="00D14C87"/>
    <w:rsid w:val="00D36FD0"/>
    <w:rsid w:val="00D92A21"/>
    <w:rsid w:val="00DD3E9C"/>
    <w:rsid w:val="00E003A7"/>
    <w:rsid w:val="00E0691D"/>
    <w:rsid w:val="00E35A26"/>
    <w:rsid w:val="00EB62D4"/>
    <w:rsid w:val="00EC6332"/>
    <w:rsid w:val="00ED07D1"/>
    <w:rsid w:val="00EF7D77"/>
    <w:rsid w:val="00F03398"/>
    <w:rsid w:val="00F43E7F"/>
    <w:rsid w:val="00F60D98"/>
    <w:rsid w:val="00FA0032"/>
    <w:rsid w:val="00FA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CAA67-E938-4A54-A37C-98405554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50"/>
  </w:style>
  <w:style w:type="paragraph" w:styleId="1">
    <w:name w:val="heading 1"/>
    <w:basedOn w:val="a"/>
    <w:next w:val="a"/>
    <w:link w:val="10"/>
    <w:uiPriority w:val="9"/>
    <w:qFormat/>
    <w:rsid w:val="009051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15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11">
    <w:name w:val="Заголовок №1_"/>
    <w:basedOn w:val="a0"/>
    <w:link w:val="12"/>
    <w:rsid w:val="00667391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6739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67391"/>
    <w:pPr>
      <w:widowControl w:val="0"/>
      <w:shd w:val="clear" w:color="auto" w:fill="FFFFFF"/>
      <w:spacing w:line="322" w:lineRule="exact"/>
      <w:ind w:firstLine="0"/>
      <w:jc w:val="center"/>
      <w:outlineLvl w:val="0"/>
    </w:pPr>
    <w:rPr>
      <w:rFonts w:eastAsia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667391"/>
    <w:pPr>
      <w:widowControl w:val="0"/>
      <w:shd w:val="clear" w:color="auto" w:fill="FFFFFF"/>
      <w:spacing w:after="420" w:line="322" w:lineRule="exact"/>
      <w:ind w:firstLine="0"/>
    </w:pPr>
    <w:rPr>
      <w:rFonts w:eastAsia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667391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391"/>
    <w:pPr>
      <w:widowControl w:val="0"/>
      <w:shd w:val="clear" w:color="auto" w:fill="FFFFFF"/>
      <w:spacing w:before="420" w:after="300" w:line="322" w:lineRule="exact"/>
      <w:ind w:firstLine="0"/>
      <w:jc w:val="both"/>
    </w:pPr>
    <w:rPr>
      <w:rFonts w:eastAsia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67391"/>
    <w:rPr>
      <w:rFonts w:eastAsia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67391"/>
    <w:pPr>
      <w:widowControl w:val="0"/>
      <w:shd w:val="clear" w:color="auto" w:fill="FFFFFF"/>
      <w:spacing w:before="240" w:line="0" w:lineRule="atLeast"/>
      <w:ind w:firstLine="0"/>
      <w:jc w:val="both"/>
    </w:pPr>
    <w:rPr>
      <w:rFonts w:eastAsia="Times New Roman"/>
      <w:sz w:val="20"/>
      <w:szCs w:val="20"/>
    </w:rPr>
  </w:style>
  <w:style w:type="character" w:customStyle="1" w:styleId="a3">
    <w:name w:val="Подпись к таблице"/>
    <w:basedOn w:val="a0"/>
    <w:rsid w:val="00667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667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LucidaSansUnicode7pt">
    <w:name w:val="Основной текст (2) + Lucida Sans Unicode;7 pt"/>
    <w:basedOn w:val="2"/>
    <w:rsid w:val="0066739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LucidaSansUnicode6pt">
    <w:name w:val="Основной текст (2) + Lucida Sans Unicode;6 pt"/>
    <w:basedOn w:val="2"/>
    <w:rsid w:val="0066739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667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pt">
    <w:name w:val="Основной текст (2) + 4 pt"/>
    <w:basedOn w:val="2"/>
    <w:rsid w:val="00EF7D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Candara115pt">
    <w:name w:val="Основной текст (2) + Candara;11;5 pt;Полужирный;Курсив"/>
    <w:basedOn w:val="2"/>
    <w:rsid w:val="00EF7D77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MicrosoftSansSerif7pt">
    <w:name w:val="Основной текст (2) + Microsoft Sans Serif;7 pt;Курсив"/>
    <w:basedOn w:val="2"/>
    <w:rsid w:val="00EF7D7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4pt0pt">
    <w:name w:val="Основной текст (2) + Candara;4 pt;Интервал 0 pt"/>
    <w:basedOn w:val="2"/>
    <w:rsid w:val="00EF7D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"/>
    <w:rsid w:val="00EF7D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Candara95pt">
    <w:name w:val="Основной текст (2) + Candara;9;5 pt;Полужирный"/>
    <w:basedOn w:val="2"/>
    <w:rsid w:val="00EF7D7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Candara4pt">
    <w:name w:val="Основной текст (2) + Candara;4 pt"/>
    <w:basedOn w:val="2"/>
    <w:rsid w:val="00EF7D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CordiaUPC12pt">
    <w:name w:val="Основной текст (2) + CordiaUPC;12 pt;Полужирный"/>
    <w:basedOn w:val="2"/>
    <w:rsid w:val="00EF7D7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8F48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1D29C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1E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1EAB"/>
  </w:style>
  <w:style w:type="paragraph" w:styleId="a8">
    <w:name w:val="footer"/>
    <w:basedOn w:val="a"/>
    <w:link w:val="a9"/>
    <w:uiPriority w:val="99"/>
    <w:unhideWhenUsed/>
    <w:rsid w:val="00391E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1EAB"/>
  </w:style>
  <w:style w:type="paragraph" w:styleId="aa">
    <w:name w:val="List Paragraph"/>
    <w:basedOn w:val="a"/>
    <w:uiPriority w:val="34"/>
    <w:qFormat/>
    <w:rsid w:val="007C5ED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927D8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27D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0%D0%BA%D0%BB%D1%8E%D1%87%D0%B5%D0%BD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F%D0%B5%D1%86%D0%B8%D0%B0%D0%BB%D0%B8%D1%81%D1%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AD%D0%BA%D1%81%D0%BF%D0%B5%D1%80%D1%82%D0%B8%D0%B7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1%83%D0%B6%D0%B4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2977</Words>
  <Characters>16973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Аталышы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</dc:creator>
  <cp:lastModifiedBy>макс</cp:lastModifiedBy>
  <cp:revision>2</cp:revision>
  <cp:lastPrinted>2017-10-09T09:15:00Z</cp:lastPrinted>
  <dcterms:created xsi:type="dcterms:W3CDTF">2017-11-08T10:14:00Z</dcterms:created>
  <dcterms:modified xsi:type="dcterms:W3CDTF">2017-11-08T10:14:00Z</dcterms:modified>
</cp:coreProperties>
</file>