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82" w:rsidRPr="00DE2F5C" w:rsidRDefault="00580C79" w:rsidP="00FF7A9B">
      <w:pPr>
        <w:shd w:val="clear" w:color="auto" w:fill="FFFFFF"/>
        <w:spacing w:before="240"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FD576C" w:rsidRPr="00DE2F5C" w:rsidRDefault="00FD576C" w:rsidP="005D0A5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b/>
          <w:sz w:val="28"/>
          <w:szCs w:val="28"/>
        </w:rPr>
        <w:t>постановки запасов полезных ископаемы</w:t>
      </w:r>
      <w:r w:rsidR="009A4666">
        <w:rPr>
          <w:rFonts w:ascii="Times New Roman" w:eastAsia="Times New Roman" w:hAnsi="Times New Roman" w:cs="Times New Roman"/>
          <w:b/>
          <w:sz w:val="28"/>
          <w:szCs w:val="28"/>
        </w:rPr>
        <w:t xml:space="preserve">х на государственный баланс и </w:t>
      </w:r>
      <w:r w:rsidRPr="00DE2F5C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списания </w:t>
      </w:r>
      <w:r w:rsidR="009A4666">
        <w:rPr>
          <w:rFonts w:ascii="Times New Roman" w:eastAsia="Times New Roman" w:hAnsi="Times New Roman" w:cs="Times New Roman"/>
          <w:b/>
          <w:sz w:val="28"/>
          <w:szCs w:val="28"/>
        </w:rPr>
        <w:t xml:space="preserve">их </w:t>
      </w:r>
      <w:r w:rsidRPr="00DE2F5C">
        <w:rPr>
          <w:rFonts w:ascii="Times New Roman" w:eastAsia="Times New Roman" w:hAnsi="Times New Roman" w:cs="Times New Roman"/>
          <w:b/>
          <w:sz w:val="28"/>
          <w:szCs w:val="28"/>
        </w:rPr>
        <w:t>с государственного баланса</w:t>
      </w:r>
    </w:p>
    <w:p w:rsidR="0048424B" w:rsidRPr="00DE2F5C" w:rsidRDefault="009C10AA" w:rsidP="008B5779">
      <w:pPr>
        <w:spacing w:before="100" w:beforeAutospacing="1"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="00580C79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постановки запасов полезных ископае</w:t>
      </w:r>
      <w:r w:rsidR="00654BD7">
        <w:rPr>
          <w:rFonts w:ascii="Times New Roman" w:eastAsia="Times New Roman" w:hAnsi="Times New Roman" w:cs="Times New Roman"/>
          <w:sz w:val="28"/>
          <w:szCs w:val="28"/>
        </w:rPr>
        <w:t>мых на государственный баланс и</w:t>
      </w:r>
      <w:r w:rsidR="00E30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списания </w:t>
      </w:r>
      <w:r w:rsidR="00E306D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753CF">
        <w:rPr>
          <w:rFonts w:ascii="Times New Roman" w:eastAsia="Times New Roman" w:hAnsi="Times New Roman" w:cs="Times New Roman"/>
          <w:sz w:val="28"/>
          <w:szCs w:val="28"/>
        </w:rPr>
        <w:t>государственного баланса (далее -</w:t>
      </w:r>
      <w:r w:rsidR="002E0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Правила)</w:t>
      </w:r>
      <w:r w:rsidR="00654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654BD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</w:t>
      </w:r>
      <w:r w:rsidR="000637C6" w:rsidRPr="00DE2F5C">
        <w:rPr>
          <w:rFonts w:ascii="Times New Roman" w:eastAsia="Times New Roman" w:hAnsi="Times New Roman" w:cs="Times New Roman"/>
          <w:sz w:val="28"/>
          <w:szCs w:val="28"/>
        </w:rPr>
        <w:t xml:space="preserve">Кыргызской Республики </w:t>
      </w:r>
      <w:r w:rsidR="00546CB6" w:rsidRPr="00DE2F5C">
        <w:rPr>
          <w:rFonts w:ascii="Times New Roman" w:hAnsi="Times New Roman" w:cs="Times New Roman"/>
          <w:sz w:val="28"/>
          <w:szCs w:val="28"/>
        </w:rPr>
        <w:t>от 9 августа 2012 года №</w:t>
      </w:r>
      <w:r w:rsidR="00787658" w:rsidRPr="00DE2F5C">
        <w:rPr>
          <w:rFonts w:ascii="Times New Roman" w:hAnsi="Times New Roman" w:cs="Times New Roman"/>
          <w:sz w:val="28"/>
          <w:szCs w:val="28"/>
        </w:rPr>
        <w:t xml:space="preserve">160 </w:t>
      </w:r>
      <w:r w:rsidR="00546CB6" w:rsidRPr="00DE2F5C">
        <w:rPr>
          <w:rFonts w:ascii="Times New Roman" w:hAnsi="Times New Roman" w:cs="Times New Roman"/>
          <w:sz w:val="28"/>
          <w:szCs w:val="28"/>
        </w:rPr>
        <w:t>«</w:t>
      </w:r>
      <w:r w:rsidR="00787658" w:rsidRPr="00DE2F5C">
        <w:rPr>
          <w:rFonts w:ascii="Times New Roman" w:hAnsi="Times New Roman" w:cs="Times New Roman"/>
          <w:sz w:val="28"/>
          <w:szCs w:val="28"/>
        </w:rPr>
        <w:t>О недрах</w:t>
      </w:r>
      <w:r w:rsidR="00546CB6" w:rsidRPr="00DE2F5C">
        <w:rPr>
          <w:rFonts w:ascii="Times New Roman" w:hAnsi="Times New Roman" w:cs="Times New Roman"/>
          <w:sz w:val="28"/>
          <w:szCs w:val="28"/>
        </w:rPr>
        <w:t>»</w:t>
      </w:r>
      <w:r w:rsidR="00787658" w:rsidRPr="00DF3A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D576C" w:rsidRPr="00DF3ADD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546CB6" w:rsidRPr="00DF3AD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Государственном </w:t>
      </w:r>
      <w:r w:rsidR="00DF3ADD" w:rsidRPr="00DF3ADD">
        <w:rPr>
          <w:rFonts w:ascii="Times New Roman" w:eastAsia="Times New Roman" w:hAnsi="Times New Roman" w:cs="Times New Roman"/>
          <w:bCs/>
          <w:sz w:val="28"/>
          <w:szCs w:val="28"/>
        </w:rPr>
        <w:t>комитете промышленности, энергетики и недропользования</w:t>
      </w:r>
      <w:r w:rsidR="00546CB6" w:rsidRPr="00DF3A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Кыргызской Республики, </w:t>
      </w:r>
      <w:r w:rsidR="00546CB6" w:rsidRPr="00DF3AD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постановлением Правительства Кыргызской Республики от </w:t>
      </w:r>
      <w:r w:rsidR="00DF3ADD" w:rsidRPr="00DF3AD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46CB6" w:rsidRPr="00DF3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ADD" w:rsidRPr="00DF3ADD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46CB6" w:rsidRPr="00DF3AD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F3ADD" w:rsidRPr="00DF3A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6CB6" w:rsidRPr="00DF3ADD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F3ADD" w:rsidRPr="00DF3ADD">
        <w:rPr>
          <w:rFonts w:ascii="Times New Roman" w:eastAsia="Times New Roman" w:hAnsi="Times New Roman" w:cs="Times New Roman"/>
          <w:sz w:val="28"/>
          <w:szCs w:val="28"/>
        </w:rPr>
        <w:t>401</w:t>
      </w:r>
      <w:r w:rsidR="00546CB6" w:rsidRPr="00DE2F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 xml:space="preserve"> определяю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т порядок и условия постановки</w:t>
      </w:r>
      <w:proofErr w:type="gramEnd"/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запасов полезных ископаемы</w:t>
      </w:r>
      <w:r w:rsidR="00E306D3">
        <w:rPr>
          <w:rFonts w:ascii="Times New Roman" w:eastAsia="Times New Roman" w:hAnsi="Times New Roman" w:cs="Times New Roman"/>
          <w:sz w:val="28"/>
          <w:szCs w:val="28"/>
        </w:rPr>
        <w:t xml:space="preserve">х на государственный баланс и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списания </w:t>
      </w:r>
      <w:r w:rsidR="00E306D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с государственного баланса.</w:t>
      </w:r>
    </w:p>
    <w:p w:rsidR="00BA5F80" w:rsidRPr="00DE2F5C" w:rsidRDefault="00FD576C" w:rsidP="0048424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A5F80" w:rsidRPr="00DE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80" w:rsidRPr="00DE2F5C">
        <w:rPr>
          <w:rFonts w:ascii="Times New Roman" w:hAnsi="Times New Roman" w:cs="Times New Roman"/>
          <w:sz w:val="28"/>
          <w:szCs w:val="28"/>
        </w:rPr>
        <w:t xml:space="preserve">В соответствии со статьей 13 Закона Кыргызской Республики «О недрах» запасы полезных ископаемых, находящиеся в месторождениях полезных ископаемых, подлежат учету Государственным балансом запасов полезных ископаемых Кыргызской </w:t>
      </w:r>
      <w:r w:rsidR="00A570E1" w:rsidRPr="00DE2F5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570E1" w:rsidRPr="00DE2F5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A5F80" w:rsidRPr="00DE2F5C">
        <w:rPr>
          <w:rFonts w:ascii="Times New Roman" w:eastAsia="Times New Roman" w:hAnsi="Times New Roman" w:cs="Times New Roman"/>
          <w:sz w:val="28"/>
          <w:szCs w:val="28"/>
        </w:rPr>
        <w:t>далее - Государственный баланс)</w:t>
      </w:r>
      <w:r w:rsidR="00BA5F80" w:rsidRPr="00DE2F5C">
        <w:rPr>
          <w:rFonts w:ascii="Times New Roman" w:hAnsi="Times New Roman" w:cs="Times New Roman"/>
          <w:sz w:val="28"/>
          <w:szCs w:val="28"/>
        </w:rPr>
        <w:t xml:space="preserve"> на основании апробации Государственной комиссией по запасам полезных ископаемых Кыргызской Республики</w:t>
      </w:r>
      <w:r w:rsidR="00C37995">
        <w:rPr>
          <w:rFonts w:ascii="Times New Roman" w:hAnsi="Times New Roman" w:cs="Times New Roman"/>
          <w:sz w:val="28"/>
          <w:szCs w:val="28"/>
        </w:rPr>
        <w:t xml:space="preserve"> (д</w:t>
      </w:r>
      <w:r w:rsidR="00654BD7">
        <w:rPr>
          <w:rFonts w:ascii="Times New Roman" w:hAnsi="Times New Roman" w:cs="Times New Roman"/>
          <w:sz w:val="28"/>
          <w:szCs w:val="28"/>
        </w:rPr>
        <w:t>алее -</w:t>
      </w:r>
      <w:r w:rsidR="00580C79">
        <w:rPr>
          <w:rFonts w:ascii="Times New Roman" w:hAnsi="Times New Roman" w:cs="Times New Roman"/>
          <w:sz w:val="28"/>
          <w:szCs w:val="28"/>
        </w:rPr>
        <w:t xml:space="preserve"> Государственной комиссии по запасам</w:t>
      </w:r>
      <w:r w:rsidR="00C37995">
        <w:rPr>
          <w:rFonts w:ascii="Times New Roman" w:hAnsi="Times New Roman" w:cs="Times New Roman"/>
          <w:sz w:val="28"/>
          <w:szCs w:val="28"/>
        </w:rPr>
        <w:t>)</w:t>
      </w:r>
      <w:r w:rsidR="00BA5F80" w:rsidRPr="00DE2F5C">
        <w:rPr>
          <w:rFonts w:ascii="Times New Roman" w:hAnsi="Times New Roman" w:cs="Times New Roman"/>
          <w:sz w:val="28"/>
          <w:szCs w:val="28"/>
        </w:rPr>
        <w:t>.</w:t>
      </w:r>
    </w:p>
    <w:p w:rsidR="00BA5F80" w:rsidRPr="00DE2F5C" w:rsidRDefault="00FD576C" w:rsidP="0048424B">
      <w:pPr>
        <w:pStyle w:val="tkZagolovok5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 На основании статьи </w:t>
      </w:r>
      <w:r w:rsidR="00BA5F80" w:rsidRPr="00DE2F5C">
        <w:rPr>
          <w:rFonts w:ascii="Times New Roman" w:eastAsia="Times New Roman" w:hAnsi="Times New Roman" w:cs="Times New Roman"/>
          <w:b w:val="0"/>
          <w:sz w:val="28"/>
          <w:szCs w:val="28"/>
        </w:rPr>
        <w:t>12</w:t>
      </w:r>
      <w:r w:rsidRPr="00DE2F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Закона </w:t>
      </w:r>
      <w:r w:rsidR="00BA5F80" w:rsidRPr="00DE2F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Кыргызской Республики «О недрах» </w:t>
      </w:r>
      <w:r w:rsidR="00BA5F80" w:rsidRPr="00DE2F5C">
        <w:rPr>
          <w:rFonts w:ascii="Times New Roman" w:hAnsi="Times New Roman" w:cs="Times New Roman"/>
          <w:b w:val="0"/>
          <w:sz w:val="28"/>
          <w:szCs w:val="28"/>
        </w:rPr>
        <w:t>Государственный баланс содержит сведения о количестве, качестве и степени изученности полезных ископаемых по месторождениям, размещении и степени промышленного освоения, добыче и обеспеченности разведанными запасами полезных ископаемых действующих предприятий.</w:t>
      </w:r>
    </w:p>
    <w:p w:rsidR="00FD576C" w:rsidRPr="00DE2F5C" w:rsidRDefault="00FD576C" w:rsidP="0048424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F0EC9" w:rsidRPr="00DE2F5C">
        <w:rPr>
          <w:rFonts w:ascii="Times New Roman" w:hAnsi="Times New Roman" w:cs="Times New Roman"/>
          <w:sz w:val="28"/>
          <w:szCs w:val="28"/>
        </w:rPr>
        <w:t xml:space="preserve">Ведение Государственного баланса 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1F0EC9" w:rsidRPr="00DE2F5C">
        <w:rPr>
          <w:rFonts w:ascii="Times New Roman" w:hAnsi="Times New Roman" w:cs="Times New Roman"/>
          <w:sz w:val="28"/>
          <w:szCs w:val="28"/>
        </w:rPr>
        <w:t>уполномоченны</w:t>
      </w:r>
      <w:r w:rsidR="009E1181">
        <w:rPr>
          <w:rFonts w:ascii="Times New Roman" w:hAnsi="Times New Roman" w:cs="Times New Roman"/>
          <w:sz w:val="28"/>
          <w:szCs w:val="28"/>
        </w:rPr>
        <w:t xml:space="preserve">й государственный орган </w:t>
      </w:r>
      <w:r w:rsidR="001F0EC9" w:rsidRPr="00DE2F5C">
        <w:rPr>
          <w:rFonts w:ascii="Times New Roman" w:hAnsi="Times New Roman" w:cs="Times New Roman"/>
          <w:sz w:val="28"/>
          <w:szCs w:val="28"/>
        </w:rPr>
        <w:t xml:space="preserve"> по недропользованию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постановку запасов полезных ископаемы</w:t>
      </w:r>
      <w:r w:rsidR="00E306D3">
        <w:rPr>
          <w:rFonts w:ascii="Times New Roman" w:eastAsia="Times New Roman" w:hAnsi="Times New Roman" w:cs="Times New Roman"/>
          <w:sz w:val="28"/>
          <w:szCs w:val="28"/>
        </w:rPr>
        <w:t xml:space="preserve">х на </w:t>
      </w:r>
      <w:r w:rsidR="00E306D3" w:rsidRPr="002E335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баланс и </w:t>
      </w:r>
      <w:r w:rsidRPr="002E335A">
        <w:rPr>
          <w:rFonts w:ascii="Times New Roman" w:eastAsia="Times New Roman" w:hAnsi="Times New Roman" w:cs="Times New Roman"/>
          <w:sz w:val="28"/>
          <w:szCs w:val="28"/>
        </w:rPr>
        <w:t xml:space="preserve"> списание </w:t>
      </w:r>
      <w:r w:rsidR="00E306D3" w:rsidRPr="002E335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E335A">
        <w:rPr>
          <w:rFonts w:ascii="Times New Roman" w:eastAsia="Times New Roman" w:hAnsi="Times New Roman" w:cs="Times New Roman"/>
          <w:sz w:val="28"/>
          <w:szCs w:val="28"/>
        </w:rPr>
        <w:t>с Государственного баланса.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A9B">
        <w:rPr>
          <w:rFonts w:ascii="Times New Roman" w:eastAsia="Times New Roman" w:hAnsi="Times New Roman" w:cs="Times New Roman"/>
          <w:sz w:val="28"/>
          <w:szCs w:val="28"/>
        </w:rPr>
        <w:t xml:space="preserve">5. Постановка запасов полезных ископаемых на Государственный баланс, их изменение и списание с Государственного баланса осуществляются по данным геологоразведочных и добычных работ, а </w:t>
      </w:r>
      <w:r w:rsidRPr="002E335A">
        <w:rPr>
          <w:rFonts w:ascii="Times New Roman" w:eastAsia="Times New Roman" w:hAnsi="Times New Roman" w:cs="Times New Roman"/>
          <w:sz w:val="28"/>
          <w:szCs w:val="28"/>
        </w:rPr>
        <w:t>также по результатам переоценки запасов в связи с изменением</w:t>
      </w:r>
      <w:r w:rsidRPr="00FF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35A">
        <w:rPr>
          <w:rFonts w:ascii="Times New Roman" w:eastAsia="Times New Roman" w:hAnsi="Times New Roman" w:cs="Times New Roman"/>
          <w:sz w:val="28"/>
          <w:szCs w:val="28"/>
        </w:rPr>
        <w:t>параметров подсчета запасов</w:t>
      </w:r>
      <w:r w:rsidR="002E335A" w:rsidRPr="002E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04" w:rsidRPr="002E335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560F" w:rsidRPr="002E335A">
        <w:rPr>
          <w:rFonts w:ascii="Times New Roman" w:eastAsia="Times New Roman" w:hAnsi="Times New Roman" w:cs="Times New Roman"/>
          <w:sz w:val="28"/>
          <w:szCs w:val="28"/>
        </w:rPr>
        <w:t xml:space="preserve">кондиционных лимитов, </w:t>
      </w:r>
      <w:r w:rsidR="00C31204" w:rsidRPr="002E335A">
        <w:rPr>
          <w:rFonts w:ascii="Times New Roman" w:eastAsia="Times New Roman" w:hAnsi="Times New Roman" w:cs="Times New Roman"/>
          <w:sz w:val="28"/>
          <w:szCs w:val="28"/>
        </w:rPr>
        <w:t>протяженности, мощности, средних содержаний полезных ископаемых, изменения цен на продукты переработки</w:t>
      </w:r>
      <w:r w:rsidR="0054560F" w:rsidRPr="002E335A">
        <w:rPr>
          <w:rFonts w:ascii="Times New Roman" w:eastAsia="Times New Roman" w:hAnsi="Times New Roman" w:cs="Times New Roman"/>
          <w:sz w:val="28"/>
          <w:szCs w:val="28"/>
        </w:rPr>
        <w:t xml:space="preserve"> руд</w:t>
      </w:r>
      <w:r w:rsidR="00C31204" w:rsidRPr="002E335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6. Запасы полезных ископаемых на Государственном балансе учитываются по месторождениям полезных ископаемых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площадям, участкам, шахтным и карьер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>ным полям, залежам, горизонтам,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>куполам и другим объектам учета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Учет запасов полезных ископаемых осуществляется в соответствии со степенью их промышленного освоения и способа отработки.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Запасы 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 xml:space="preserve">полезных ископаемых учитываются в целом по объектам учета, а также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за со</w:t>
      </w:r>
      <w:r w:rsidR="009E1181">
        <w:rPr>
          <w:rFonts w:ascii="Times New Roman" w:eastAsia="Times New Roman" w:hAnsi="Times New Roman" w:cs="Times New Roman"/>
          <w:sz w:val="28"/>
          <w:szCs w:val="28"/>
        </w:rPr>
        <w:t xml:space="preserve">ответствующим </w:t>
      </w:r>
      <w:proofErr w:type="spellStart"/>
      <w:r w:rsidR="009E1181">
        <w:rPr>
          <w:rFonts w:ascii="Times New Roman" w:eastAsia="Times New Roman" w:hAnsi="Times New Roman" w:cs="Times New Roman"/>
          <w:sz w:val="28"/>
          <w:szCs w:val="28"/>
        </w:rPr>
        <w:t>недропользователем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- по участкам недр, предоставленным</w:t>
      </w:r>
      <w:r w:rsidR="001F0EC9" w:rsidRPr="00DE2F5C">
        <w:rPr>
          <w:rFonts w:ascii="Times New Roman" w:eastAsia="Times New Roman" w:hAnsi="Times New Roman" w:cs="Times New Roman"/>
          <w:sz w:val="28"/>
          <w:szCs w:val="28"/>
        </w:rPr>
        <w:t xml:space="preserve"> в пользование для целей разработки и добычи полезных ископаемых.</w:t>
      </w:r>
    </w:p>
    <w:p w:rsidR="00FD576C" w:rsidRPr="00DE2F5C" w:rsidRDefault="002E335A" w:rsidP="0048424B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м баланс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запасы полезных ископаемых, в том числе подземных вод, лече</w:t>
      </w:r>
      <w:r w:rsidR="00F913FB" w:rsidRPr="00DE2F5C">
        <w:rPr>
          <w:rFonts w:ascii="Times New Roman" w:eastAsia="Times New Roman" w:hAnsi="Times New Roman" w:cs="Times New Roman"/>
          <w:sz w:val="28"/>
          <w:szCs w:val="28"/>
        </w:rPr>
        <w:t>бных грязей, рапы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, а также полезных ископаемых, содержа</w:t>
      </w:r>
      <w:r w:rsidR="002D6959">
        <w:rPr>
          <w:rFonts w:ascii="Times New Roman" w:eastAsia="Times New Roman" w:hAnsi="Times New Roman" w:cs="Times New Roman"/>
          <w:sz w:val="28"/>
          <w:szCs w:val="28"/>
        </w:rPr>
        <w:t>щихся в отходах горнодобывающих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ним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перерабатывающих производств.</w:t>
      </w:r>
    </w:p>
    <w:p w:rsidR="00FD576C" w:rsidRPr="00DE2F5C" w:rsidRDefault="002E335A" w:rsidP="004842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Учету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м баланс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r w:rsidR="005D0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5D" w:rsidRPr="005D0A5D">
        <w:rPr>
          <w:rFonts w:ascii="Times New Roman" w:hAnsi="Times New Roman" w:cs="Times New Roman"/>
          <w:sz w:val="28"/>
          <w:szCs w:val="28"/>
        </w:rPr>
        <w:t>разведанные в недрах запасы всех видов полезных ископаемых (приложение №1), апробирова</w:t>
      </w:r>
      <w:r w:rsidR="00580C79">
        <w:rPr>
          <w:rFonts w:ascii="Times New Roman" w:hAnsi="Times New Roman" w:cs="Times New Roman"/>
          <w:sz w:val="28"/>
          <w:szCs w:val="28"/>
        </w:rPr>
        <w:t>нные в установленном порядке Государственной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80C79">
        <w:rPr>
          <w:rFonts w:ascii="Times New Roman" w:hAnsi="Times New Roman" w:cs="Times New Roman"/>
          <w:sz w:val="28"/>
          <w:szCs w:val="28"/>
        </w:rPr>
        <w:t xml:space="preserve"> по запасам СССР, </w:t>
      </w:r>
      <w:r w:rsidR="00195130">
        <w:rPr>
          <w:rFonts w:ascii="Times New Roman" w:hAnsi="Times New Roman" w:cs="Times New Roman"/>
          <w:sz w:val="28"/>
          <w:szCs w:val="28"/>
        </w:rPr>
        <w:t>Территориальной</w:t>
      </w:r>
      <w:r w:rsidR="00580C7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80C79">
        <w:rPr>
          <w:rFonts w:ascii="Times New Roman" w:hAnsi="Times New Roman" w:cs="Times New Roman"/>
          <w:sz w:val="28"/>
          <w:szCs w:val="28"/>
        </w:rPr>
        <w:t xml:space="preserve"> по запасам</w:t>
      </w:r>
      <w:r w:rsidR="002D6959">
        <w:rPr>
          <w:rFonts w:ascii="Times New Roman" w:hAnsi="Times New Roman" w:cs="Times New Roman"/>
          <w:sz w:val="28"/>
          <w:szCs w:val="28"/>
        </w:rPr>
        <w:t xml:space="preserve"> и </w:t>
      </w:r>
      <w:r w:rsidR="0007365A">
        <w:rPr>
          <w:rFonts w:ascii="Times New Roman" w:hAnsi="Times New Roman" w:cs="Times New Roman"/>
          <w:sz w:val="28"/>
          <w:szCs w:val="28"/>
        </w:rPr>
        <w:t>Государственной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7365A">
        <w:rPr>
          <w:rFonts w:ascii="Times New Roman" w:hAnsi="Times New Roman" w:cs="Times New Roman"/>
          <w:sz w:val="28"/>
          <w:szCs w:val="28"/>
        </w:rPr>
        <w:t xml:space="preserve"> по запасам,</w:t>
      </w:r>
      <w:r w:rsidR="005D0A5D" w:rsidRPr="005D0A5D">
        <w:rPr>
          <w:rFonts w:ascii="Times New Roman" w:hAnsi="Times New Roman" w:cs="Times New Roman"/>
          <w:sz w:val="28"/>
          <w:szCs w:val="28"/>
        </w:rPr>
        <w:t xml:space="preserve"> </w:t>
      </w:r>
      <w:r w:rsidR="005D0A5D">
        <w:rPr>
          <w:rFonts w:ascii="Times New Roman" w:hAnsi="Times New Roman" w:cs="Times New Roman"/>
          <w:sz w:val="28"/>
          <w:szCs w:val="28"/>
        </w:rPr>
        <w:t>для лиц всех форм собственности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76C" w:rsidRPr="00DE2F5C" w:rsidRDefault="00FD576C" w:rsidP="004842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2F5C">
        <w:rPr>
          <w:rFonts w:ascii="Times New Roman" w:eastAsia="Times New Roman" w:hAnsi="Times New Roman" w:cs="Times New Roman"/>
          <w:sz w:val="28"/>
          <w:szCs w:val="28"/>
        </w:rPr>
        <w:t>1) по твердым полезным ископаемым разд</w:t>
      </w:r>
      <w:r w:rsidR="004F146C">
        <w:rPr>
          <w:rFonts w:ascii="Times New Roman" w:eastAsia="Times New Roman" w:hAnsi="Times New Roman" w:cs="Times New Roman"/>
          <w:sz w:val="28"/>
          <w:szCs w:val="28"/>
        </w:rPr>
        <w:t>ельно балансовые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и за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10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балансо</w:t>
      </w:r>
      <w:r w:rsidR="004F146C">
        <w:rPr>
          <w:rFonts w:ascii="Times New Roman" w:eastAsia="Times New Roman" w:hAnsi="Times New Roman" w:cs="Times New Roman"/>
          <w:sz w:val="28"/>
          <w:szCs w:val="28"/>
        </w:rPr>
        <w:t>вые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запасы основных и совместно с ними залегающих полезных ископаемых и содержащихся в них ценных компонентов;</w:t>
      </w:r>
      <w:proofErr w:type="gramEnd"/>
    </w:p>
    <w:p w:rsidR="00FD576C" w:rsidRPr="00DE2F5C" w:rsidRDefault="00FD576C" w:rsidP="004842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2) по нефти и конденсату геологические и извлекаемые запасы, по газу свободному и газу в газовых шапках, газу, растворенному в нефти, этану, пропану, бутану, гелию и другим ценным компонентам нефтяных и газовых месторождений - только извлекаемые запасы;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3) по подземным водам - балансовые и </w:t>
      </w:r>
      <w:proofErr w:type="spellStart"/>
      <w:r w:rsidRPr="00DE2F5C">
        <w:rPr>
          <w:rFonts w:ascii="Times New Roman" w:eastAsia="Times New Roman" w:hAnsi="Times New Roman" w:cs="Times New Roman"/>
          <w:sz w:val="28"/>
          <w:szCs w:val="28"/>
        </w:rPr>
        <w:t>забалансовые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запасы питьевых, технических, лечебных минеральных, т</w:t>
      </w:r>
      <w:r w:rsidR="00F913FB" w:rsidRPr="00DE2F5C">
        <w:rPr>
          <w:rFonts w:ascii="Times New Roman" w:eastAsia="Times New Roman" w:hAnsi="Times New Roman" w:cs="Times New Roman"/>
          <w:sz w:val="28"/>
          <w:szCs w:val="28"/>
        </w:rPr>
        <w:t>ермоминеральных и промышленных вод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6C" w:rsidRPr="00E760A2" w:rsidRDefault="00FD576C" w:rsidP="0048424B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35A">
        <w:rPr>
          <w:rFonts w:ascii="Times New Roman" w:eastAsia="Times New Roman" w:hAnsi="Times New Roman" w:cs="Times New Roman"/>
          <w:sz w:val="28"/>
          <w:szCs w:val="28"/>
        </w:rPr>
        <w:t>4) по вновь выявленным в результате геологоразведочных работ месторождениям (площадям, участкам, шахтным и карьерным полям, залежам, горизонтам и другим объектам учета) - запасы, подсчита</w:t>
      </w:r>
      <w:r w:rsidR="00610547" w:rsidRPr="002E335A">
        <w:rPr>
          <w:rFonts w:ascii="Times New Roman" w:eastAsia="Times New Roman" w:hAnsi="Times New Roman" w:cs="Times New Roman"/>
          <w:sz w:val="28"/>
          <w:szCs w:val="28"/>
        </w:rPr>
        <w:t>нные в соответствии с принятыми</w:t>
      </w:r>
      <w:r w:rsidRPr="002E3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35A">
        <w:rPr>
          <w:rFonts w:ascii="Times New Roman" w:eastAsia="Times New Roman" w:hAnsi="Times New Roman" w:cs="Times New Roman"/>
          <w:sz w:val="28"/>
          <w:szCs w:val="28"/>
        </w:rPr>
        <w:t>параметрами для подсчета запасов;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5) прирост или уменьшение запасов полезных ископаемых, полученные в результате геологоразведочных и добычных работ на месторождениях, запасы которых числятся на Государственном балансе;</w:t>
      </w:r>
    </w:p>
    <w:p w:rsidR="00FD576C" w:rsidRPr="00DE2F5C" w:rsidRDefault="00FD576C" w:rsidP="0048424B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6) переоцененные запасы в связи с изменением параметров их подсчетов, экономических, горнотехнических, технологических условий разработки, а также в связи с изменением направления использования полезного ископаемого;</w:t>
      </w:r>
    </w:p>
    <w:p w:rsidR="00FD576C" w:rsidRPr="00701345" w:rsidRDefault="00FD576C" w:rsidP="0048424B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345">
        <w:rPr>
          <w:rFonts w:ascii="Times New Roman" w:eastAsia="Times New Roman" w:hAnsi="Times New Roman" w:cs="Times New Roman"/>
          <w:sz w:val="28"/>
          <w:szCs w:val="28"/>
        </w:rPr>
        <w:t>7) запасы полезных ископаемых, складированные в спец</w:t>
      </w:r>
      <w:r w:rsidR="00701345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Pr="00701345">
        <w:rPr>
          <w:rFonts w:ascii="Times New Roman" w:eastAsia="Times New Roman" w:hAnsi="Times New Roman" w:cs="Times New Roman"/>
          <w:sz w:val="28"/>
          <w:szCs w:val="28"/>
        </w:rPr>
        <w:t>отвалах и добытые из них.</w:t>
      </w:r>
    </w:p>
    <w:p w:rsidR="00500A44" w:rsidRDefault="00FD576C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10. Основанием для постановки запасов полезных ископаемых на Государственный баланс явля</w:t>
      </w:r>
      <w:r w:rsidR="00C379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C37995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 w:rsidR="00C379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экспертизы запасов полезных иск</w:t>
      </w:r>
      <w:r w:rsidR="00F913FB" w:rsidRPr="00DE2F5C">
        <w:rPr>
          <w:rFonts w:ascii="Times New Roman" w:eastAsia="Times New Roman" w:hAnsi="Times New Roman" w:cs="Times New Roman"/>
          <w:sz w:val="28"/>
          <w:szCs w:val="28"/>
        </w:rPr>
        <w:t>опаемых</w:t>
      </w:r>
      <w:r w:rsidR="00C37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0C79">
        <w:rPr>
          <w:rFonts w:ascii="Times New Roman" w:eastAsia="Times New Roman" w:hAnsi="Times New Roman" w:cs="Times New Roman"/>
          <w:sz w:val="28"/>
          <w:szCs w:val="28"/>
        </w:rPr>
        <w:t>осуществляемой Государственной комисси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80C79">
        <w:rPr>
          <w:rFonts w:ascii="Times New Roman" w:eastAsia="Times New Roman" w:hAnsi="Times New Roman" w:cs="Times New Roman"/>
          <w:sz w:val="28"/>
          <w:szCs w:val="28"/>
        </w:rPr>
        <w:t xml:space="preserve"> по запасам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A44" w:rsidRPr="0050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государственной экспертизы </w:t>
      </w:r>
      <w:r w:rsidR="00580C79">
        <w:rPr>
          <w:rFonts w:ascii="Times New Roman" w:eastAsia="Times New Roman" w:hAnsi="Times New Roman" w:cs="Times New Roman"/>
          <w:sz w:val="28"/>
          <w:szCs w:val="28"/>
        </w:rPr>
        <w:t>недр оформляются протоколом Государственной комиссии по запасам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t xml:space="preserve">, в котором отражаются данные об утверждении </w:t>
      </w:r>
      <w:r w:rsidR="00500A44">
        <w:rPr>
          <w:rFonts w:ascii="Times New Roman" w:eastAsia="Times New Roman" w:hAnsi="Times New Roman" w:cs="Times New Roman"/>
          <w:sz w:val="28"/>
          <w:szCs w:val="28"/>
        </w:rPr>
        <w:t xml:space="preserve">(апробации) 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t xml:space="preserve">запасов полезных ископаемых, о распределении 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lastRenderedPageBreak/>
        <w:t>запасов по категориям</w:t>
      </w:r>
      <w:r w:rsidR="00500A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A44" w:rsidRPr="00500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t>о списании полезных ископаемых, о возможности применения инф</w:t>
      </w:r>
      <w:r w:rsidR="00D449C4">
        <w:rPr>
          <w:rFonts w:ascii="Times New Roman" w:eastAsia="Times New Roman" w:hAnsi="Times New Roman" w:cs="Times New Roman"/>
          <w:sz w:val="28"/>
          <w:szCs w:val="28"/>
        </w:rPr>
        <w:t xml:space="preserve">ормации о недрах в промышленных и научных </w:t>
      </w:r>
      <w:r w:rsidR="00500A44" w:rsidRPr="0090227D">
        <w:rPr>
          <w:rFonts w:ascii="Times New Roman" w:eastAsia="Times New Roman" w:hAnsi="Times New Roman" w:cs="Times New Roman"/>
          <w:sz w:val="28"/>
          <w:szCs w:val="28"/>
        </w:rPr>
        <w:t>целях.</w:t>
      </w:r>
    </w:p>
    <w:p w:rsidR="00FD576C" w:rsidRPr="00DE2F5C" w:rsidRDefault="00FD576C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11. Списание запасов полезных ископаемых с Государственного баланса осуществляется на основании заключений государственной экспертизы запасов полезных ископаемых, на основании данных ежего</w:t>
      </w:r>
      <w:r w:rsidR="003B6154">
        <w:rPr>
          <w:rFonts w:ascii="Times New Roman" w:eastAsia="Times New Roman" w:hAnsi="Times New Roman" w:cs="Times New Roman"/>
          <w:sz w:val="28"/>
          <w:szCs w:val="28"/>
        </w:rPr>
        <w:t xml:space="preserve">дной государственной отчетности </w:t>
      </w:r>
      <w:proofErr w:type="spellStart"/>
      <w:r w:rsidRPr="00DE2F5C">
        <w:rPr>
          <w:rFonts w:ascii="Times New Roman" w:eastAsia="Times New Roman" w:hAnsi="Times New Roman" w:cs="Times New Roman"/>
          <w:sz w:val="28"/>
          <w:szCs w:val="28"/>
        </w:rPr>
        <w:t>недропользователей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>, осуществляющих добычу полезных ископаемых.</w:t>
      </w:r>
    </w:p>
    <w:p w:rsidR="00F913FB" w:rsidRPr="00DE2F5C" w:rsidRDefault="00FD576C" w:rsidP="0096401A">
      <w:pPr>
        <w:pStyle w:val="tkTekst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F913FB" w:rsidRPr="00DE2F5C">
        <w:rPr>
          <w:rFonts w:ascii="Times New Roman" w:hAnsi="Times New Roman" w:cs="Times New Roman"/>
          <w:sz w:val="28"/>
          <w:szCs w:val="28"/>
        </w:rPr>
        <w:t>Списание с учета балансовых запасов полезных ископаемых, утративших промышленное значение, потерянных в процессе добычи либо не подтвердившихся при последующих геологоразведочных работах или разработк</w:t>
      </w:r>
      <w:r w:rsidR="002E335A">
        <w:rPr>
          <w:rFonts w:ascii="Times New Roman" w:hAnsi="Times New Roman" w:cs="Times New Roman"/>
          <w:sz w:val="28"/>
          <w:szCs w:val="28"/>
        </w:rPr>
        <w:t>и</w:t>
      </w:r>
      <w:r w:rsidR="00F913FB" w:rsidRPr="00DE2F5C">
        <w:rPr>
          <w:rFonts w:ascii="Times New Roman" w:hAnsi="Times New Roman" w:cs="Times New Roman"/>
          <w:sz w:val="28"/>
          <w:szCs w:val="28"/>
        </w:rPr>
        <w:t xml:space="preserve"> месторождения полезных ископаемых, производится уполномоченным органом</w:t>
      </w:r>
      <w:r w:rsidR="006E5872">
        <w:rPr>
          <w:rFonts w:ascii="Times New Roman" w:hAnsi="Times New Roman" w:cs="Times New Roman"/>
          <w:sz w:val="28"/>
          <w:szCs w:val="28"/>
        </w:rPr>
        <w:t xml:space="preserve"> по недропользованию</w:t>
      </w:r>
      <w:r w:rsidR="00F913FB" w:rsidRPr="00DE2F5C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и дополнений в Государственный баланс.</w:t>
      </w:r>
    </w:p>
    <w:p w:rsidR="00FD576C" w:rsidRPr="00DE2F5C" w:rsidRDefault="00F913FB" w:rsidP="009640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Списание запасов полезных ископаемых с Государственного баланса осуществляется на основании заключений государственной экспертизы запасов полезных ископаемых в следующих случаях:</w:t>
      </w:r>
    </w:p>
    <w:p w:rsidR="00FD576C" w:rsidRPr="00DE2F5C" w:rsidRDefault="00FD576C" w:rsidP="0048424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запасы полезных ископаемых не подтвердились при проведении последующих геологоразведочных или добычных работ;</w:t>
      </w:r>
    </w:p>
    <w:p w:rsidR="00FD576C" w:rsidRPr="00DE2F5C" w:rsidRDefault="00FD576C" w:rsidP="0048424B">
      <w:pPr>
        <w:pStyle w:val="a6"/>
        <w:numPr>
          <w:ilvl w:val="0"/>
          <w:numId w:val="3"/>
        </w:num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запасы полезных ископаемых утратили промышленное значение в связи с ухудшением горнотехнических, экономических, экологических и иных параметров, принятых ранее при их подсчете.</w:t>
      </w:r>
    </w:p>
    <w:p w:rsidR="00D75262" w:rsidRPr="00DE2F5C" w:rsidRDefault="00FD576C" w:rsidP="004E3FF6">
      <w:pPr>
        <w:shd w:val="clear" w:color="auto" w:fill="FFFFFF"/>
        <w:spacing w:after="0" w:line="240" w:lineRule="auto"/>
        <w:ind w:left="6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Предложения о списании запасов полезных ископаемых, учтенных Государст</w:t>
      </w:r>
      <w:r w:rsidR="00F913FB" w:rsidRPr="00DE2F5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>енным балансом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в случаях утраты ими промышленного значения, </w:t>
      </w:r>
      <w:proofErr w:type="spellStart"/>
      <w:r w:rsidRPr="00DE2F5C">
        <w:rPr>
          <w:rFonts w:ascii="Times New Roman" w:eastAsia="Times New Roman" w:hAnsi="Times New Roman" w:cs="Times New Roman"/>
          <w:sz w:val="28"/>
          <w:szCs w:val="28"/>
        </w:rPr>
        <w:t>неподтверждения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данных по результатам геологоразвед</w:t>
      </w:r>
      <w:r w:rsidR="00D75262" w:rsidRPr="00DE2F5C">
        <w:rPr>
          <w:rFonts w:ascii="Times New Roman" w:eastAsia="Times New Roman" w:hAnsi="Times New Roman" w:cs="Times New Roman"/>
          <w:sz w:val="28"/>
          <w:szCs w:val="28"/>
        </w:rPr>
        <w:t xml:space="preserve">очных и добычных работ вносятся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 </w:t>
      </w:r>
      <w:proofErr w:type="spellStart"/>
      <w:r w:rsidR="002672E0" w:rsidRPr="00DE2F5C">
        <w:rPr>
          <w:rFonts w:ascii="Times New Roman" w:eastAsia="Times New Roman" w:hAnsi="Times New Roman" w:cs="Times New Roman"/>
          <w:sz w:val="28"/>
          <w:szCs w:val="28"/>
        </w:rPr>
        <w:t>недр</w:t>
      </w:r>
      <w:r w:rsidR="002672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пользователем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 по участкам недр, предоставленным в пользование для целей </w:t>
      </w:r>
      <w:r w:rsidR="00D75262" w:rsidRPr="00DE2F5C">
        <w:rPr>
          <w:rFonts w:ascii="Times New Roman" w:eastAsia="Times New Roman" w:hAnsi="Times New Roman" w:cs="Times New Roman"/>
          <w:sz w:val="28"/>
          <w:szCs w:val="28"/>
        </w:rPr>
        <w:t xml:space="preserve">разведки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месторождений полезных ископаемых или для целей раз</w:t>
      </w:r>
      <w:r w:rsidR="00D75262" w:rsidRPr="00DE2F5C">
        <w:rPr>
          <w:rFonts w:ascii="Times New Roman" w:eastAsia="Times New Roman" w:hAnsi="Times New Roman" w:cs="Times New Roman"/>
          <w:sz w:val="28"/>
          <w:szCs w:val="28"/>
        </w:rPr>
        <w:t>работки и добычи полезных ископаемых;</w:t>
      </w:r>
    </w:p>
    <w:p w:rsidR="00FD576C" w:rsidRPr="00DE2F5C" w:rsidRDefault="00FD576C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5262" w:rsidRPr="00DE2F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. Добытые из недр полезные ископаемые, содержащиеся в них полезные компоненты, а также потери при их добыче списываются с Государственного баланса без проведения государственной экспертизы запасов полезных ископаемых на основании данных ежегодной государственной отчетности </w:t>
      </w:r>
      <w:proofErr w:type="spellStart"/>
      <w:r w:rsidRPr="00DE2F5C">
        <w:rPr>
          <w:rFonts w:ascii="Times New Roman" w:eastAsia="Times New Roman" w:hAnsi="Times New Roman" w:cs="Times New Roman"/>
          <w:sz w:val="28"/>
          <w:szCs w:val="28"/>
        </w:rPr>
        <w:t>недропользователей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>, осуществляющих добычу полезных ископаемых.</w:t>
      </w:r>
    </w:p>
    <w:p w:rsidR="00FD576C" w:rsidRPr="00DE2F5C" w:rsidRDefault="0096401A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. Учет изменений запасов полезных ископаемых в Государственном балансе осуществляется 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00DF">
        <w:rPr>
          <w:rFonts w:ascii="Times New Roman" w:eastAsia="Times New Roman" w:hAnsi="Times New Roman" w:cs="Times New Roman"/>
          <w:sz w:val="28"/>
          <w:szCs w:val="28"/>
        </w:rPr>
        <w:t xml:space="preserve">а отчетный год по состоянию на 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>1 января года, следующего за отчетным,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экспертизы запасов полезных ископаемых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 ежегодной государственной отчетности </w:t>
      </w:r>
      <w:proofErr w:type="spellStart"/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недропользователей</w:t>
      </w:r>
      <w:proofErr w:type="spellEnd"/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, осуществляющих добычу полезных ископаемых.</w:t>
      </w:r>
    </w:p>
    <w:p w:rsidR="00FD576C" w:rsidRPr="00DE2F5C" w:rsidRDefault="0096401A" w:rsidP="009640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2F5C" w:rsidRPr="00DE2F5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осуществляет составление Государственного баланса в установленном порядке на основании данных:</w:t>
      </w:r>
    </w:p>
    <w:p w:rsidR="00FD576C" w:rsidRPr="00DE2F5C" w:rsidRDefault="00FD576C" w:rsidP="0096401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ежегодной государственной отчетности, представленной </w:t>
      </w:r>
      <w:proofErr w:type="spellStart"/>
      <w:r w:rsidRPr="00DE2F5C">
        <w:rPr>
          <w:rFonts w:ascii="Times New Roman" w:eastAsia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DE2F5C">
        <w:rPr>
          <w:rFonts w:ascii="Times New Roman" w:eastAsia="Times New Roman" w:hAnsi="Times New Roman" w:cs="Times New Roman"/>
          <w:sz w:val="28"/>
          <w:szCs w:val="28"/>
        </w:rPr>
        <w:t>, осуществляющими разведку и добычу полезных ископаемых;</w:t>
      </w:r>
    </w:p>
    <w:p w:rsidR="00FD576C" w:rsidRPr="00DE2F5C" w:rsidRDefault="00FD576C" w:rsidP="0048424B">
      <w:pPr>
        <w:pStyle w:val="a6"/>
        <w:numPr>
          <w:ilvl w:val="0"/>
          <w:numId w:val="5"/>
        </w:numPr>
        <w:shd w:val="clear" w:color="auto" w:fill="FFFFFF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заключений государственной экспертизы </w:t>
      </w:r>
      <w:r w:rsidR="00DE2F5C" w:rsidRPr="00DE2F5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комиссии по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="00DE40A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6C" w:rsidRPr="00DE2F5C" w:rsidRDefault="0096401A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2F5C" w:rsidRPr="00DE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F5C" w:rsidRPr="00DE2F5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сводные данные о запасах и добыче полезных ископаемых в </w:t>
      </w:r>
      <w:r w:rsidR="00DE2F5C" w:rsidRPr="00DE2F5C">
        <w:rPr>
          <w:rFonts w:ascii="Times New Roman" w:eastAsia="Times New Roman" w:hAnsi="Times New Roman" w:cs="Times New Roman"/>
          <w:sz w:val="28"/>
          <w:szCs w:val="28"/>
        </w:rPr>
        <w:t>Кыргызской Республике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76C" w:rsidRPr="00DE2F5C" w:rsidRDefault="00FD576C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по твердым </w:t>
      </w:r>
      <w:r w:rsidR="00196F04">
        <w:rPr>
          <w:rFonts w:ascii="Times New Roman" w:eastAsia="Times New Roman" w:hAnsi="Times New Roman" w:cs="Times New Roman"/>
          <w:sz w:val="28"/>
          <w:szCs w:val="28"/>
        </w:rPr>
        <w:t>полезным ископаемым</w:t>
      </w:r>
      <w:r w:rsidR="00DE40A6">
        <w:rPr>
          <w:rFonts w:ascii="Times New Roman" w:eastAsia="Times New Roman" w:hAnsi="Times New Roman" w:cs="Times New Roman"/>
          <w:sz w:val="28"/>
          <w:szCs w:val="28"/>
        </w:rPr>
        <w:t xml:space="preserve"> в срок до 1 июля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, следующего за отчетным;</w:t>
      </w:r>
    </w:p>
    <w:p w:rsidR="00FD576C" w:rsidRDefault="00FD576C" w:rsidP="0096401A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F5C">
        <w:rPr>
          <w:rFonts w:ascii="Times New Roman" w:eastAsia="Times New Roman" w:hAnsi="Times New Roman" w:cs="Times New Roman"/>
          <w:sz w:val="28"/>
          <w:szCs w:val="28"/>
        </w:rPr>
        <w:t xml:space="preserve">по нефти, газу и углю - до 1 августа </w:t>
      </w:r>
      <w:r w:rsidR="00DE40A6">
        <w:rPr>
          <w:rFonts w:ascii="Times New Roman" w:eastAsia="Times New Roman" w:hAnsi="Times New Roman" w:cs="Times New Roman"/>
          <w:sz w:val="28"/>
          <w:szCs w:val="28"/>
        </w:rPr>
        <w:t xml:space="preserve">текущего </w:t>
      </w:r>
      <w:r w:rsidRPr="00DE2F5C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FD576C" w:rsidRPr="00196F04" w:rsidRDefault="0096401A" w:rsidP="00D14BB2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В срок до 1 ноября </w:t>
      </w:r>
      <w:r w:rsidR="00DE40A6">
        <w:rPr>
          <w:rFonts w:ascii="Times New Roman" w:eastAsia="Times New Roman" w:hAnsi="Times New Roman" w:cs="Times New Roman"/>
          <w:sz w:val="28"/>
          <w:szCs w:val="28"/>
        </w:rPr>
        <w:t xml:space="preserve">текущего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7995">
        <w:rPr>
          <w:rFonts w:ascii="Times New Roman" w:hAnsi="Times New Roman" w:cs="Times New Roman"/>
          <w:sz w:val="28"/>
          <w:szCs w:val="28"/>
        </w:rPr>
        <w:t>у</w:t>
      </w:r>
      <w:r w:rsidR="00DE2F5C" w:rsidRPr="00DE2F5C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C37995">
        <w:rPr>
          <w:rFonts w:ascii="Times New Roman" w:hAnsi="Times New Roman" w:cs="Times New Roman"/>
          <w:sz w:val="28"/>
          <w:szCs w:val="28"/>
        </w:rPr>
        <w:t>орган</w:t>
      </w:r>
      <w:r w:rsidR="00852AAE">
        <w:rPr>
          <w:rFonts w:ascii="Times New Roman" w:hAnsi="Times New Roman" w:cs="Times New Roman"/>
          <w:sz w:val="28"/>
          <w:szCs w:val="28"/>
        </w:rPr>
        <w:t xml:space="preserve"> по недропользовании</w:t>
      </w:r>
      <w:r w:rsidR="00C37995">
        <w:rPr>
          <w:rFonts w:ascii="Times New Roman" w:hAnsi="Times New Roman" w:cs="Times New Roman"/>
          <w:sz w:val="28"/>
          <w:szCs w:val="28"/>
        </w:rPr>
        <w:t xml:space="preserve"> </w:t>
      </w:r>
      <w:r w:rsidR="00FD576C" w:rsidRPr="00DE2F5C">
        <w:rPr>
          <w:rFonts w:ascii="Times New Roman" w:eastAsia="Times New Roman" w:hAnsi="Times New Roman" w:cs="Times New Roman"/>
          <w:sz w:val="28"/>
          <w:szCs w:val="28"/>
        </w:rPr>
        <w:t>обеспечивает выпуск Государственного баланса по состоянию на 1 января года, следующего за отчетным</w:t>
      </w:r>
      <w:r w:rsidR="00615EC2">
        <w:rPr>
          <w:rFonts w:ascii="Times New Roman" w:eastAsia="Times New Roman" w:hAnsi="Times New Roman" w:cs="Times New Roman"/>
          <w:sz w:val="28"/>
          <w:szCs w:val="28"/>
        </w:rPr>
        <w:t xml:space="preserve"> (формы Государственного баланса приведены в </w:t>
      </w:r>
      <w:r w:rsidR="00615EC2" w:rsidRPr="00196F04">
        <w:rPr>
          <w:rFonts w:ascii="Times New Roman" w:eastAsia="Times New Roman" w:hAnsi="Times New Roman" w:cs="Times New Roman"/>
          <w:sz w:val="28"/>
          <w:szCs w:val="28"/>
        </w:rPr>
        <w:t xml:space="preserve">приложениях </w:t>
      </w:r>
      <w:r w:rsidR="00E01B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1345" w:rsidRPr="00196F04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01345" w:rsidRPr="00196F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5EC2" w:rsidRPr="00196F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576C" w:rsidRPr="00196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22" w:rsidRPr="00F159D1" w:rsidRDefault="0096401A" w:rsidP="00F159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605D22" w:rsidRPr="00DE2F5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05D22" w:rsidRPr="00605D22">
        <w:rPr>
          <w:rFonts w:ascii="Times New Roman" w:hAnsi="Times New Roman" w:cs="Times New Roman"/>
          <w:sz w:val="28"/>
          <w:szCs w:val="28"/>
        </w:rPr>
        <w:t>осуществляет контроль за своевременным представлением юридическими и физическими лицами отчетных балансов запасов полезных ископаемых</w:t>
      </w:r>
      <w:r w:rsidR="00605D22">
        <w:rPr>
          <w:rFonts w:ascii="Times New Roman" w:hAnsi="Times New Roman" w:cs="Times New Roman"/>
          <w:sz w:val="28"/>
          <w:szCs w:val="28"/>
        </w:rPr>
        <w:t xml:space="preserve"> (формы 5ГР)</w:t>
      </w:r>
      <w:r w:rsidR="00605D22" w:rsidRPr="00605D22">
        <w:rPr>
          <w:rFonts w:ascii="Times New Roman" w:hAnsi="Times New Roman" w:cs="Times New Roman"/>
          <w:sz w:val="28"/>
          <w:szCs w:val="28"/>
        </w:rPr>
        <w:t xml:space="preserve">, проверяет </w:t>
      </w:r>
      <w:r w:rsidR="00605D22" w:rsidRPr="00E760A2">
        <w:rPr>
          <w:rFonts w:ascii="Times New Roman" w:hAnsi="Times New Roman" w:cs="Times New Roman"/>
          <w:sz w:val="28"/>
          <w:szCs w:val="28"/>
        </w:rPr>
        <w:t xml:space="preserve">соответствие полученных сведений </w:t>
      </w:r>
      <w:r w:rsidRPr="00E760A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59D1" w:rsidRPr="00E760A2">
        <w:rPr>
          <w:rFonts w:ascii="Times New Roman" w:hAnsi="Times New Roman" w:cs="Times New Roman"/>
          <w:sz w:val="28"/>
          <w:szCs w:val="28"/>
        </w:rPr>
        <w:t>с</w:t>
      </w:r>
      <w:r w:rsidR="00F159D1" w:rsidRPr="00F159D1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 w:rsidR="00F159D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159D1" w:rsidRPr="00F159D1">
        <w:rPr>
          <w:rFonts w:ascii="Times New Roman" w:eastAsia="Times New Roman" w:hAnsi="Times New Roman" w:cs="Times New Roman"/>
          <w:sz w:val="28"/>
          <w:szCs w:val="28"/>
        </w:rPr>
        <w:t xml:space="preserve"> о совершенствовании процессов отчетности </w:t>
      </w:r>
      <w:proofErr w:type="spellStart"/>
      <w:r w:rsidR="00F159D1" w:rsidRPr="00F159D1">
        <w:rPr>
          <w:rFonts w:ascii="Times New Roman" w:eastAsia="Times New Roman" w:hAnsi="Times New Roman" w:cs="Times New Roman"/>
          <w:sz w:val="28"/>
          <w:szCs w:val="28"/>
        </w:rPr>
        <w:t>недропользователей</w:t>
      </w:r>
      <w:proofErr w:type="spellEnd"/>
      <w:r w:rsidR="00F159D1">
        <w:rPr>
          <w:rFonts w:ascii="Times New Roman" w:eastAsia="Times New Roman" w:hAnsi="Times New Roman" w:cs="Times New Roman"/>
          <w:sz w:val="28"/>
          <w:szCs w:val="28"/>
        </w:rPr>
        <w:t>, утвержденно</w:t>
      </w:r>
      <w:r w:rsidR="002E335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159D1">
        <w:rPr>
          <w:rFonts w:ascii="Times New Roman" w:eastAsia="Times New Roman" w:hAnsi="Times New Roman" w:cs="Times New Roman"/>
          <w:sz w:val="28"/>
          <w:szCs w:val="28"/>
        </w:rPr>
        <w:t xml:space="preserve"> приказом Государственного комитета промышленности, энергетики и </w:t>
      </w:r>
      <w:proofErr w:type="spellStart"/>
      <w:r w:rsidR="00F159D1">
        <w:rPr>
          <w:rFonts w:ascii="Times New Roman" w:eastAsia="Times New Roman" w:hAnsi="Times New Roman" w:cs="Times New Roman"/>
          <w:sz w:val="28"/>
          <w:szCs w:val="28"/>
        </w:rPr>
        <w:t>недрпользования</w:t>
      </w:r>
      <w:proofErr w:type="spellEnd"/>
      <w:r w:rsidR="00F159D1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№1/1 от 26 декабря 2016 года (зарегистрировано в реестре нормативных правовых актах за №77 от 05.07.2017 года)</w:t>
      </w:r>
      <w:proofErr w:type="gramEnd"/>
    </w:p>
    <w:p w:rsidR="005D0A5D" w:rsidRDefault="005D0A5D" w:rsidP="004842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A5D" w:rsidRPr="0096401A" w:rsidRDefault="005D0A5D" w:rsidP="0096401A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0A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0A5D" w:rsidRPr="005D0A5D" w:rsidRDefault="005D0A5D" w:rsidP="0048424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5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D0A5D" w:rsidRPr="005D0A5D" w:rsidRDefault="005D0A5D" w:rsidP="0048424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5D">
        <w:rPr>
          <w:rFonts w:ascii="Times New Roman" w:hAnsi="Times New Roman" w:cs="Times New Roman"/>
          <w:b/>
          <w:sz w:val="28"/>
          <w:szCs w:val="28"/>
        </w:rPr>
        <w:t>полезных ископаемых, по которым составляются</w:t>
      </w:r>
    </w:p>
    <w:p w:rsidR="005D0A5D" w:rsidRPr="005D0A5D" w:rsidRDefault="005D0A5D" w:rsidP="0048424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5D">
        <w:rPr>
          <w:rFonts w:ascii="Times New Roman" w:hAnsi="Times New Roman" w:cs="Times New Roman"/>
          <w:b/>
          <w:sz w:val="28"/>
          <w:szCs w:val="28"/>
        </w:rPr>
        <w:t>сводные балансы запасов, с указание единиц измерения</w:t>
      </w:r>
    </w:p>
    <w:p w:rsidR="005D0A5D" w:rsidRDefault="005D0A5D" w:rsidP="0048424B">
      <w:pPr>
        <w:spacing w:after="0" w:line="240" w:lineRule="auto"/>
        <w:ind w:firstLine="720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94"/>
        <w:gridCol w:w="3573"/>
      </w:tblGrid>
      <w:tr w:rsidR="005D0A5D" w:rsidRPr="005D0A5D" w:rsidTr="00BC3C82">
        <w:tc>
          <w:tcPr>
            <w:tcW w:w="820" w:type="dxa"/>
            <w:vAlign w:val="center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94" w:type="dxa"/>
            <w:vAlign w:val="center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573" w:type="dxa"/>
            <w:vAlign w:val="center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Абразивы: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а) гранат и корунд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Минерал,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б) наждак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Аглапоритовое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сырье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94" w:type="dxa"/>
          </w:tcPr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лмазы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Алмазы, тыс. карат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Алунит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94" w:type="dxa"/>
          </w:tcPr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патит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94" w:type="dxa"/>
          </w:tcPr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сбест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Асбест,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Асфальтиты и битум (битуминозные пески, песчаники, глины, известняки, копал,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кир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Балластное сырье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Барит и витерит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94" w:type="dxa"/>
          </w:tcPr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ериллий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ВеО</w:t>
            </w:r>
            <w:proofErr w:type="spellEnd"/>
            <w:r w:rsidR="00824FFB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94" w:type="dxa"/>
          </w:tcPr>
          <w:p w:rsidR="005D0A5D" w:rsidRPr="005D0A5D" w:rsidRDefault="00824FFB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окситы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Бораты (борсодержащее сырье)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Бром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Запасы в каменной соли и озера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х-</w:t>
            </w:r>
            <w:proofErr w:type="gram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тыс. т; В глубинных водах -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/сутки;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Добыча брома – тыс. т;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Вода –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русит</w:t>
            </w:r>
            <w:proofErr w:type="spellEnd"/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анадий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ермикулит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Вермикулит,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rPr>
          <w:trHeight w:val="1704"/>
        </w:trPr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исмут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Висмут, т</w:t>
            </w:r>
          </w:p>
        </w:tc>
      </w:tr>
      <w:tr w:rsidR="005D0A5D" w:rsidRPr="005D0A5D" w:rsidTr="00BC3C82">
        <w:trPr>
          <w:trHeight w:val="811"/>
        </w:trPr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ольфрам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Высокоглиноземное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сырье (кианит, андалузит, силлиманит,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дюмортьерит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диаспор)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Минерал, 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Гипс, ангидрит и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глино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-гипс (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гажа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ганч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лины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Глины адсорбционные (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бентонитовые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флюридиновые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кил)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BC3C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Гравий, галька, песок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рафит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Графитовый углерод,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Диатомит, трепел, опока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Доломит для металлургии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Доломит строительный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унит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Железные руды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Змеевик (серпентин)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олото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Золото, кг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Известняк и травертин 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кроме цементных и для химической промышленности)</w:t>
            </w:r>
            <w:proofErr w:type="gramEnd"/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Известняк для обжига на известь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Известняк для инертной пыли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Известняк флюсовый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Йод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Запасы в глубинных водах -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/сутки;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Добыча йода - в т;</w:t>
            </w:r>
          </w:p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Воды –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Камни кислотоупорные (андезит, базальт и др.)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Камни строительные (гранит, гнейс, диабаз,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гранодиорит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, диорит, лабрадорит, порфирит,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габбро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трапин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туфы и другие вулканические породы)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Камни литографические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Камни строительные, пильные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Камни точильные и жерновые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894" w:type="dxa"/>
          </w:tcPr>
          <w:p w:rsidR="005D0A5D" w:rsidRPr="005D0A5D" w:rsidRDefault="00BC3C82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D0A5D" w:rsidRPr="005D0A5D">
              <w:rPr>
                <w:rFonts w:ascii="Times New Roman" w:hAnsi="Times New Roman" w:cs="Times New Roman"/>
                <w:sz w:val="26"/>
                <w:szCs w:val="26"/>
              </w:rPr>
              <w:t>аолин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Карбонатное сырье для химической промышленности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Кварц и кварциты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Кварц для плавки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D0A5D" w:rsidRPr="005D0A5D" w:rsidTr="00BC3C82">
        <w:tc>
          <w:tcPr>
            <w:tcW w:w="820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894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Керамзитовое сырье</w:t>
            </w:r>
          </w:p>
        </w:tc>
        <w:tc>
          <w:tcPr>
            <w:tcW w:w="3573" w:type="dxa"/>
          </w:tcPr>
          <w:p w:rsidR="005D0A5D" w:rsidRPr="005D0A5D" w:rsidRDefault="005D0A5D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C95487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894" w:type="dxa"/>
          </w:tcPr>
          <w:p w:rsidR="00510D78" w:rsidRPr="005D0A5D" w:rsidRDefault="00510D78" w:rsidP="00510D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Кобальт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510D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Кобальт,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итий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r w:rsidRPr="00E01B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агнезит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Марганцевые руды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Медь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Медь,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Мергель (кроме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цементного</w:t>
            </w:r>
            <w:proofErr w:type="gram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Минеральные краски: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а) мумия, охра, сурик, умбра, вивианит, глауконит и др.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волконскоит</w:t>
            </w:r>
            <w:proofErr w:type="spellEnd"/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олибден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Молибден,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Мрамор и другие естественные облицовочные камни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ышьяк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Мышьяк,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ефелин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икель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Никель,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иобий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Nb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зокерит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лово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Олово,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Пемза и вулканический пепел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ерлит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ески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Пески и песчаники стекольные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Песок для карбида кремния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есчаники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ирофиллит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Плавиковый шпат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CaF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Платина и платиноиды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Платина,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Полевой шпат и пегматиты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Пьезооптическое сырье: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а) исландский шпат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б) оптический кварц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в) оптический флюорит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Минерал, кг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Моноблоки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Минерал,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</w:p>
        </w:tc>
      </w:tr>
      <w:tr w:rsidR="00510D78" w:rsidRPr="005D0A5D" w:rsidTr="00C95487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4894" w:type="dxa"/>
          </w:tcPr>
          <w:p w:rsidR="00510D78" w:rsidRPr="005D0A5D" w:rsidRDefault="00510D78" w:rsidP="00DD3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Рассеянные элементы: (галлий, гафний, германий, индий, кадмий, рений, рубидий, селен, скандий, таллий, теллур, цезий)</w:t>
            </w:r>
            <w:proofErr w:type="gramEnd"/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DD3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Элементы,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Редкие земли: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а) иттриевая подгруппа (иттрий, гольмий, диспрозий, тербий, гадолиний, европий</w:t>
            </w:r>
            <w:r w:rsidR="00DD35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лантановая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цериевая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) подгруппа (церий, лантан,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неодимий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празеодимий)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Элементы,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Элементы,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894" w:type="dxa"/>
          </w:tcPr>
          <w:p w:rsidR="00510D78" w:rsidRPr="005D0A5D" w:rsidRDefault="00DD35B0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туть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Ртуть,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Свинец и цинк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Свинец,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Цинк,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Сера самородная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Сера, тыс.</w:t>
            </w:r>
            <w:r w:rsidR="00DD35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894" w:type="dxa"/>
          </w:tcPr>
          <w:p w:rsidR="00510D78" w:rsidRPr="005D0A5D" w:rsidRDefault="00DD35B0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еребро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Серебро,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Серный колчедан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Сера,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Сланцы горючие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Сланцы кровельные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Сланцы огнеупорные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Слюда (мусковит и флогопит)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Слюда, забойный сырец,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Слюда природная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894" w:type="dxa"/>
          </w:tcPr>
          <w:p w:rsidR="00510D78" w:rsidRPr="005D0A5D" w:rsidRDefault="00510D78" w:rsidP="00E64F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Соль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глауберов</w:t>
            </w:r>
            <w:r w:rsidR="00E64F1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мирабилит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енардит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сернокислый натрий)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Соль калийная (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карналлит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ильвинит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полигалит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сернокислые соли)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Сырые соли,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Соли в пересчете на К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Соль магниевая (хлористый и бромистый магний, сернокислый магний, эпсомит,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астраханит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Сырые соли,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MgCl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Соль поваренная (каменная, садочная в рассолах, рапа)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Каменная</w:t>
            </w:r>
            <w:proofErr w:type="gramEnd"/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в рапе,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Рассолы,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тронций</w:t>
            </w:r>
          </w:p>
        </w:tc>
        <w:tc>
          <w:tcPr>
            <w:tcW w:w="3573" w:type="dxa"/>
          </w:tcPr>
          <w:p w:rsidR="00510D78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SrO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углинки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урьма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Сурьма, </w:t>
            </w: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Тальк, тальковый камень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антал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10D78" w:rsidRPr="00E64F18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="00E64F1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, </w:t>
            </w:r>
            <w:r w:rsidR="00E64F18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Титан (рутил, ильменит, сфен, перовскит,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титаномагнетит)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  <w:r w:rsidRPr="00615E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TiO</w:t>
            </w:r>
            <w:proofErr w:type="spellEnd"/>
            <w:r w:rsidRPr="00615EC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15EC2">
              <w:rPr>
                <w:rFonts w:ascii="Times New Roman" w:hAnsi="Times New Roman" w:cs="Times New Roman"/>
                <w:sz w:val="26"/>
                <w:szCs w:val="26"/>
              </w:rPr>
              <w:t>, тыс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5EC2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</w:p>
        </w:tc>
      </w:tr>
      <w:tr w:rsidR="00510D78" w:rsidRPr="005D0A5D" w:rsidTr="00C95487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4894" w:type="dxa"/>
          </w:tcPr>
          <w:p w:rsidR="00510D78" w:rsidRPr="005D0A5D" w:rsidRDefault="00510D78" w:rsidP="00C351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Уголь (каменный, бурый)</w:t>
            </w:r>
          </w:p>
        </w:tc>
        <w:tc>
          <w:tcPr>
            <w:tcW w:w="3573" w:type="dxa"/>
          </w:tcPr>
          <w:p w:rsidR="00510D78" w:rsidRPr="005D0A5D" w:rsidRDefault="00510D78" w:rsidP="00E64F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Формовочные материалы (формовочные пески, глины, пылевидный кварц)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фосфориты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тыс. 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ромиты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Руда, 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Цементное сырье (известняк, мергель, мел, глина, </w:t>
            </w: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гажа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гидравлические добавки, пески для песчанистого цемента, железные руды)</w:t>
            </w:r>
            <w:proofErr w:type="gramEnd"/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Тыс. 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894" w:type="dxa"/>
          </w:tcPr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>ирконий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Руда, минерал, тыс.</w:t>
            </w:r>
            <w:r w:rsidR="00E64F1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Пески, тыс. м</w:t>
            </w:r>
            <w:r w:rsidRPr="005D0A5D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3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ZrO</w:t>
            </w:r>
            <w:proofErr w:type="spellEnd"/>
            <w:r w:rsidRPr="005D0A5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E64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Камни драгоценные, полудрагоценные и поделочные:</w:t>
            </w:r>
          </w:p>
          <w:p w:rsidR="00510D78" w:rsidRPr="005D0A5D" w:rsidRDefault="00E64F1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10D78"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зумруд, сапфир, рубин, 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 xml:space="preserve">аквамарин, аметист, топаз, горный хрусталь, морион, турмалин, агат, 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халцедон, яшма, агальматолит, малахит, лазурит, гагат, нефрит, амазонит, янтарь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Карат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0A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510D78" w:rsidRPr="005D0A5D" w:rsidTr="00BC3C82">
        <w:tc>
          <w:tcPr>
            <w:tcW w:w="820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F04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894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04">
              <w:rPr>
                <w:rFonts w:ascii="Times New Roman" w:hAnsi="Times New Roman" w:cs="Times New Roman"/>
                <w:sz w:val="26"/>
                <w:szCs w:val="26"/>
              </w:rPr>
              <w:t>Подземные пресные и термоминеральные воды</w:t>
            </w:r>
          </w:p>
        </w:tc>
        <w:tc>
          <w:tcPr>
            <w:tcW w:w="3573" w:type="dxa"/>
          </w:tcPr>
          <w:p w:rsidR="00510D78" w:rsidRPr="005D0A5D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04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196F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96F04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</w:tr>
      <w:tr w:rsidR="00510D78" w:rsidRPr="00196F04" w:rsidTr="00BC3C82">
        <w:tc>
          <w:tcPr>
            <w:tcW w:w="820" w:type="dxa"/>
          </w:tcPr>
          <w:p w:rsidR="00510D78" w:rsidRPr="00196F04" w:rsidRDefault="00510D78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4" w:type="dxa"/>
          </w:tcPr>
          <w:p w:rsidR="00510D78" w:rsidRPr="00196F04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</w:tcPr>
          <w:p w:rsidR="00510D78" w:rsidRPr="00196F04" w:rsidRDefault="00510D78" w:rsidP="00484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0A5D" w:rsidRDefault="005D0A5D" w:rsidP="0048424B">
      <w:pPr>
        <w:spacing w:after="0" w:line="240" w:lineRule="auto"/>
        <w:ind w:firstLine="720"/>
        <w:contextualSpacing/>
        <w:jc w:val="both"/>
      </w:pPr>
    </w:p>
    <w:p w:rsidR="005D0A5D" w:rsidRPr="0096401A" w:rsidRDefault="005D0A5D" w:rsidP="009640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1A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5D0A5D" w:rsidRPr="0096401A" w:rsidRDefault="00615EC2" w:rsidP="0048424B">
      <w:pPr>
        <w:numPr>
          <w:ilvl w:val="0"/>
          <w:numId w:val="6"/>
        </w:numPr>
        <w:tabs>
          <w:tab w:val="clear" w:pos="1680"/>
          <w:tab w:val="num" w:pos="426"/>
        </w:tabs>
        <w:spacing w:after="0" w:line="240" w:lineRule="auto"/>
        <w:ind w:left="426" w:hanging="2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t>Запасы</w:t>
      </w:r>
      <w:r w:rsidR="005D0A5D" w:rsidRPr="0096401A">
        <w:rPr>
          <w:rFonts w:ascii="Times New Roman" w:hAnsi="Times New Roman" w:cs="Times New Roman"/>
          <w:sz w:val="28"/>
          <w:szCs w:val="28"/>
        </w:rPr>
        <w:t>, добыча и потери при добыче должны выражаться в од</w:t>
      </w:r>
      <w:r w:rsidRPr="0096401A">
        <w:rPr>
          <w:rFonts w:ascii="Times New Roman" w:hAnsi="Times New Roman" w:cs="Times New Roman"/>
          <w:sz w:val="28"/>
          <w:szCs w:val="28"/>
        </w:rPr>
        <w:t>них и тех же единицах измерения.</w:t>
      </w:r>
    </w:p>
    <w:p w:rsidR="00E26FAF" w:rsidRPr="0096401A" w:rsidRDefault="00615EC2" w:rsidP="0048424B">
      <w:pPr>
        <w:pStyle w:val="a6"/>
        <w:numPr>
          <w:ilvl w:val="0"/>
          <w:numId w:val="6"/>
        </w:numPr>
        <w:tabs>
          <w:tab w:val="clear" w:pos="1680"/>
          <w:tab w:val="num" w:pos="426"/>
        </w:tabs>
        <w:spacing w:after="0" w:line="240" w:lineRule="auto"/>
        <w:ind w:left="426" w:hanging="262"/>
        <w:jc w:val="both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t xml:space="preserve">Запасы </w:t>
      </w:r>
      <w:r w:rsidR="005D0A5D" w:rsidRPr="0096401A">
        <w:rPr>
          <w:rFonts w:ascii="Times New Roman" w:hAnsi="Times New Roman" w:cs="Times New Roman"/>
          <w:sz w:val="28"/>
          <w:szCs w:val="28"/>
        </w:rPr>
        <w:t xml:space="preserve">асбеста, алмазов, окиси бора, </w:t>
      </w:r>
      <w:proofErr w:type="spellStart"/>
      <w:r w:rsidR="005D0A5D" w:rsidRPr="0096401A">
        <w:rPr>
          <w:rFonts w:ascii="Times New Roman" w:hAnsi="Times New Roman" w:cs="Times New Roman"/>
          <w:sz w:val="28"/>
          <w:szCs w:val="28"/>
        </w:rPr>
        <w:t>пятиокиси</w:t>
      </w:r>
      <w:proofErr w:type="spellEnd"/>
      <w:r w:rsidR="005D0A5D" w:rsidRPr="0096401A">
        <w:rPr>
          <w:rFonts w:ascii="Times New Roman" w:hAnsi="Times New Roman" w:cs="Times New Roman"/>
          <w:sz w:val="28"/>
          <w:szCs w:val="28"/>
        </w:rPr>
        <w:t xml:space="preserve"> ванадия, окиси лития, окиси стронция, минеральных красок, мышьяка, меди, никеля, рассеянных элементов, редких земель, свинца и цинка, </w:t>
      </w:r>
      <w:r w:rsidR="00196F04" w:rsidRPr="0096401A">
        <w:rPr>
          <w:rFonts w:ascii="Times New Roman" w:hAnsi="Times New Roman" w:cs="Times New Roman"/>
          <w:sz w:val="28"/>
          <w:szCs w:val="28"/>
        </w:rPr>
        <w:t xml:space="preserve">золота, </w:t>
      </w:r>
      <w:r w:rsidR="005D0A5D" w:rsidRPr="0096401A">
        <w:rPr>
          <w:rFonts w:ascii="Times New Roman" w:hAnsi="Times New Roman" w:cs="Times New Roman"/>
          <w:sz w:val="28"/>
          <w:szCs w:val="28"/>
        </w:rPr>
        <w:t>серебра, окиси циркония учитываются с точностью до 0,1; остальных полезных ископаемых – с округлением до целых</w:t>
      </w:r>
      <w:r w:rsidRPr="0096401A">
        <w:rPr>
          <w:rFonts w:ascii="Times New Roman" w:hAnsi="Times New Roman" w:cs="Times New Roman"/>
          <w:sz w:val="28"/>
          <w:szCs w:val="28"/>
        </w:rPr>
        <w:t>.</w:t>
      </w:r>
    </w:p>
    <w:p w:rsidR="00615EC2" w:rsidRPr="0096401A" w:rsidRDefault="00615EC2" w:rsidP="004842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15EC2" w:rsidRPr="0096401A" w:rsidSect="004842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4141B1" w:rsidRDefault="004141B1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41B1" w:rsidRDefault="004141B1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5EC2" w:rsidRPr="0096401A" w:rsidRDefault="00615EC2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15EC2" w:rsidRPr="00991790" w:rsidRDefault="00615EC2" w:rsidP="0048424B">
      <w:pPr>
        <w:pStyle w:val="1"/>
        <w:ind w:left="-57" w:right="-57" w:firstLine="360"/>
        <w:contextualSpacing/>
        <w:rPr>
          <w:sz w:val="28"/>
        </w:rPr>
      </w:pPr>
      <w:r w:rsidRPr="00991790">
        <w:rPr>
          <w:sz w:val="28"/>
        </w:rPr>
        <w:t xml:space="preserve">ГОСУДАРСТВЕННЫЙ БАЛАНС ЗАПАСОВ </w:t>
      </w:r>
      <w:r w:rsidR="00AB1EE1" w:rsidRPr="00991790">
        <w:rPr>
          <w:sz w:val="28"/>
        </w:rPr>
        <w:t>_</w:t>
      </w:r>
      <w:r w:rsidRPr="00991790">
        <w:rPr>
          <w:sz w:val="28"/>
        </w:rPr>
        <w:t>_____________</w:t>
      </w:r>
      <w:r w:rsidR="00991790">
        <w:rPr>
          <w:sz w:val="28"/>
        </w:rPr>
        <w:t>_______</w:t>
      </w:r>
      <w:r w:rsidRPr="00991790">
        <w:rPr>
          <w:sz w:val="28"/>
        </w:rPr>
        <w:t xml:space="preserve"> ЗА _____ ГОД </w:t>
      </w:r>
    </w:p>
    <w:p w:rsidR="00AB1EE1" w:rsidRPr="00AB1EE1" w:rsidRDefault="00AB1EE1" w:rsidP="0048424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вид</w:t>
      </w:r>
      <w:r w:rsidRPr="00AB1EE1">
        <w:rPr>
          <w:rFonts w:ascii="Times New Roman" w:hAnsi="Times New Roman" w:cs="Times New Roman"/>
          <w:sz w:val="16"/>
          <w:szCs w:val="16"/>
        </w:rPr>
        <w:t xml:space="preserve"> полезного ископаемого</w:t>
      </w:r>
    </w:p>
    <w:p w:rsidR="00615EC2" w:rsidRDefault="00615EC2" w:rsidP="0048424B">
      <w:pPr>
        <w:pStyle w:val="a7"/>
        <w:tabs>
          <w:tab w:val="clear" w:pos="4153"/>
          <w:tab w:val="clear" w:pos="8306"/>
        </w:tabs>
        <w:contextualSpacing/>
      </w:pPr>
      <w:r>
        <w:t xml:space="preserve">Единица измерения запасов   </w:t>
      </w:r>
      <w:r w:rsidR="00CF5060">
        <w:rPr>
          <w:u w:val="single"/>
        </w:rPr>
        <w:t xml:space="preserve">Руда </w:t>
      </w:r>
      <w:r>
        <w:rPr>
          <w:u w:val="single"/>
        </w:rPr>
        <w:t xml:space="preserve">-  </w:t>
      </w:r>
    </w:p>
    <w:p w:rsidR="00CF5060" w:rsidRDefault="00615EC2" w:rsidP="0048424B">
      <w:pPr>
        <w:pStyle w:val="a7"/>
        <w:tabs>
          <w:tab w:val="clear" w:pos="4153"/>
          <w:tab w:val="clear" w:pos="8306"/>
        </w:tabs>
        <w:contextualSpacing/>
      </w:pPr>
      <w:r>
        <w:t xml:space="preserve">                                                   </w:t>
      </w:r>
      <w:r w:rsidR="00CF5060">
        <w:t>Полезное ископаемое</w:t>
      </w:r>
      <w:r>
        <w:t xml:space="preserve"> </w:t>
      </w:r>
      <w:r w:rsidR="00CF5060">
        <w:t xml:space="preserve">– </w:t>
      </w:r>
    </w:p>
    <w:p w:rsidR="00CF5060" w:rsidRDefault="00CF5060" w:rsidP="0048424B">
      <w:pPr>
        <w:pStyle w:val="a7"/>
        <w:tabs>
          <w:tab w:val="clear" w:pos="4153"/>
          <w:tab w:val="clear" w:pos="8306"/>
        </w:tabs>
        <w:contextualSpacing/>
      </w:pPr>
    </w:p>
    <w:tbl>
      <w:tblPr>
        <w:tblW w:w="22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6"/>
        <w:gridCol w:w="2409"/>
        <w:gridCol w:w="2013"/>
        <w:gridCol w:w="1106"/>
        <w:gridCol w:w="992"/>
        <w:gridCol w:w="851"/>
        <w:gridCol w:w="921"/>
        <w:gridCol w:w="921"/>
        <w:gridCol w:w="922"/>
        <w:gridCol w:w="921"/>
        <w:gridCol w:w="921"/>
        <w:gridCol w:w="922"/>
        <w:gridCol w:w="963"/>
        <w:gridCol w:w="964"/>
        <w:gridCol w:w="964"/>
        <w:gridCol w:w="964"/>
        <w:gridCol w:w="823"/>
        <w:gridCol w:w="992"/>
        <w:gridCol w:w="992"/>
        <w:gridCol w:w="936"/>
        <w:gridCol w:w="1190"/>
      </w:tblGrid>
      <w:tr w:rsidR="00CF5060" w:rsidRPr="00CF5060" w:rsidTr="00CF5060">
        <w:trPr>
          <w:cantSplit/>
          <w:trHeight w:val="345"/>
          <w:jc w:val="center"/>
        </w:trPr>
        <w:tc>
          <w:tcPr>
            <w:tcW w:w="366" w:type="dxa"/>
            <w:vMerge w:val="restart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Область.</w:t>
            </w:r>
          </w:p>
          <w:p w:rsid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(ведомство),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Организация, предприятие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Месторождение, участок, местоположение.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Степень освоения, год.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(Полезные ископаемые, учитываемые другими выпусками баланса)</w:t>
            </w:r>
          </w:p>
        </w:tc>
        <w:tc>
          <w:tcPr>
            <w:tcW w:w="2013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pStyle w:val="a9"/>
              <w:ind w:left="-57" w:right="-57"/>
              <w:contextualSpacing/>
              <w:rPr>
                <w:szCs w:val="18"/>
              </w:rPr>
            </w:pPr>
            <w:r w:rsidRPr="00CF5060">
              <w:rPr>
                <w:szCs w:val="18"/>
              </w:rPr>
              <w:t>а) тип полезного ископаемого,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б) среднее содержание полезных компонентов и вредных примесей,</w:t>
            </w:r>
          </w:p>
          <w:p w:rsidR="00A05F62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в) годовая проектная производительность предприятия</w:t>
            </w:r>
          </w:p>
        </w:tc>
        <w:tc>
          <w:tcPr>
            <w:tcW w:w="2949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Состояние запасов на 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 января 20</w:t>
            </w:r>
            <w:r w:rsidR="00AB1EE1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528" w:type="dxa"/>
            <w:gridSpan w:val="6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 запасов за 20</w:t>
            </w:r>
            <w:r w:rsidR="00991790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в результате</w:t>
            </w:r>
          </w:p>
        </w:tc>
        <w:tc>
          <w:tcPr>
            <w:tcW w:w="4678" w:type="dxa"/>
            <w:gridSpan w:val="5"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Состояние запасов на 1 января 20</w:t>
            </w:r>
            <w:r w:rsidR="00AB1EE1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110" w:type="dxa"/>
            <w:gridSpan w:val="4"/>
            <w:vMerge w:val="restart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 запасы, утвержденные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ГКЗ СССР, ТКЗ, ГКЗ КР 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на дату утверждения</w:t>
            </w:r>
          </w:p>
        </w:tc>
      </w:tr>
      <w:tr w:rsidR="00CF5060" w:rsidRPr="00CF5060" w:rsidTr="00CF5060">
        <w:trPr>
          <w:cantSplit/>
          <w:jc w:val="center"/>
        </w:trPr>
        <w:tc>
          <w:tcPr>
            <w:tcW w:w="366" w:type="dxa"/>
            <w:vMerge/>
            <w:tcBorders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55" w:type="dxa"/>
            <w:gridSpan w:val="4"/>
            <w:tcBorders>
              <w:left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</w:t>
            </w:r>
          </w:p>
        </w:tc>
        <w:tc>
          <w:tcPr>
            <w:tcW w:w="823" w:type="dxa"/>
            <w:vMerge w:val="restart"/>
            <w:tcBorders>
              <w:right w:val="double" w:sz="4" w:space="0" w:color="auto"/>
            </w:tcBorders>
            <w:vAlign w:val="center"/>
          </w:tcPr>
          <w:p w:rsidR="00CF5060" w:rsidRPr="00CF5060" w:rsidRDefault="00196F04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забалан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совые</w:t>
            </w:r>
            <w:proofErr w:type="spellEnd"/>
          </w:p>
        </w:tc>
        <w:tc>
          <w:tcPr>
            <w:tcW w:w="4110" w:type="dxa"/>
            <w:gridSpan w:val="4"/>
            <w:vMerge/>
            <w:tcBorders>
              <w:left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5060" w:rsidRPr="00CF5060" w:rsidTr="00991790">
        <w:trPr>
          <w:cantSplit/>
          <w:trHeight w:val="430"/>
          <w:jc w:val="center"/>
        </w:trPr>
        <w:tc>
          <w:tcPr>
            <w:tcW w:w="366" w:type="dxa"/>
            <w:vMerge/>
            <w:tcBorders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060" w:rsidRPr="00CF5060" w:rsidRDefault="00196F04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забалансо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вые</w:t>
            </w:r>
            <w:proofErr w:type="spellEnd"/>
          </w:p>
        </w:tc>
        <w:tc>
          <w:tcPr>
            <w:tcW w:w="921" w:type="dxa"/>
            <w:vMerge w:val="restart"/>
            <w:tcBorders>
              <w:lef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добычи</w:t>
            </w:r>
          </w:p>
        </w:tc>
        <w:tc>
          <w:tcPr>
            <w:tcW w:w="921" w:type="dxa"/>
            <w:vMerge w:val="restart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потерь при добыче</w:t>
            </w:r>
          </w:p>
        </w:tc>
        <w:tc>
          <w:tcPr>
            <w:tcW w:w="922" w:type="dxa"/>
            <w:vMerge w:val="restart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разведки</w:t>
            </w:r>
          </w:p>
        </w:tc>
        <w:tc>
          <w:tcPr>
            <w:tcW w:w="921" w:type="dxa"/>
            <w:vMerge w:val="restart"/>
            <w:vAlign w:val="center"/>
          </w:tcPr>
          <w:p w:rsidR="00CF5060" w:rsidRPr="00CF5060" w:rsidRDefault="0099179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</w:t>
            </w:r>
            <w:r w:rsidR="00CF5060"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оценки</w:t>
            </w:r>
          </w:p>
        </w:tc>
        <w:tc>
          <w:tcPr>
            <w:tcW w:w="921" w:type="dxa"/>
            <w:vMerge w:val="restart"/>
            <w:vAlign w:val="center"/>
          </w:tcPr>
          <w:p w:rsidR="00CF5060" w:rsidRPr="00CF5060" w:rsidRDefault="00196F04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списани</w:t>
            </w:r>
            <w:r w:rsidR="00CF5060"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proofErr w:type="spellStart"/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неподтвер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дившихся</w:t>
            </w:r>
            <w:proofErr w:type="spellEnd"/>
            <w:r w:rsidR="00CF5060"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запасов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pacing w:val="-10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изменения </w:t>
            </w:r>
            <w:r w:rsidRPr="00CF5060">
              <w:rPr>
                <w:rFonts w:ascii="Times New Roman" w:eastAsia="Calibri" w:hAnsi="Times New Roman" w:cs="Times New Roman"/>
                <w:spacing w:val="-10"/>
                <w:sz w:val="18"/>
                <w:szCs w:val="18"/>
              </w:rPr>
              <w:t>технических границ и по другим причинам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А+В</w:t>
            </w:r>
          </w:p>
        </w:tc>
        <w:tc>
          <w:tcPr>
            <w:tcW w:w="964" w:type="dxa"/>
            <w:vMerge w:val="restart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64" w:type="dxa"/>
            <w:vMerge w:val="restart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vertAlign w:val="subscript"/>
              </w:rPr>
            </w:pP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А+В+С</w:t>
            </w: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64" w:type="dxa"/>
            <w:vMerge w:val="restart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F5060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С</w:t>
            </w:r>
            <w:r w:rsidRPr="00CF5060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23" w:type="dxa"/>
            <w:vMerge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060" w:rsidRPr="00CF5060" w:rsidRDefault="00196F04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забалан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совые</w:t>
            </w:r>
            <w:proofErr w:type="spellEnd"/>
          </w:p>
        </w:tc>
        <w:tc>
          <w:tcPr>
            <w:tcW w:w="1190" w:type="dxa"/>
            <w:vMerge w:val="restart"/>
            <w:tcBorders>
              <w:lef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год утверждения,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протокола,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группа</w:t>
            </w:r>
          </w:p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сложности</w:t>
            </w:r>
          </w:p>
        </w:tc>
      </w:tr>
      <w:tr w:rsidR="00CF5060" w:rsidRPr="00CF5060" w:rsidTr="00991790">
        <w:trPr>
          <w:cantSplit/>
          <w:trHeight w:val="870"/>
          <w:jc w:val="center"/>
        </w:trPr>
        <w:tc>
          <w:tcPr>
            <w:tcW w:w="366" w:type="dxa"/>
            <w:vMerge/>
            <w:tcBorders>
              <w:bottom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double" w:sz="4" w:space="0" w:color="auto"/>
              <w:bottom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bottom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bottom w:val="nil"/>
              <w:right w:val="double" w:sz="4" w:space="0" w:color="auto"/>
            </w:tcBorders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nil"/>
              <w:bottom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А+В+С</w:t>
            </w:r>
            <w:r w:rsidRPr="00CF5060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CF5060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С</w:t>
            </w:r>
            <w:r w:rsidRPr="00CF5060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5060" w:rsidRPr="00CF5060" w:rsidTr="00991790">
        <w:trPr>
          <w:cantSplit/>
          <w:trHeight w:val="280"/>
          <w:jc w:val="center"/>
        </w:trPr>
        <w:tc>
          <w:tcPr>
            <w:tcW w:w="366" w:type="dxa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left w:val="nil"/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1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1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1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4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4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right w:val="double" w:sz="4" w:space="0" w:color="auto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CF5060" w:rsidRPr="00CF5060" w:rsidRDefault="00CF5060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</w:tbl>
    <w:p w:rsidR="00CF5060" w:rsidRDefault="00CF5060" w:rsidP="0048424B">
      <w:pPr>
        <w:pStyle w:val="a7"/>
        <w:tabs>
          <w:tab w:val="clear" w:pos="4153"/>
          <w:tab w:val="clear" w:pos="8306"/>
        </w:tabs>
        <w:contextualSpacing/>
      </w:pPr>
    </w:p>
    <w:p w:rsidR="004141B1" w:rsidRDefault="004141B1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80F" w:rsidRPr="0096401A" w:rsidRDefault="0006480F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1EE1" w:rsidRPr="0096401A" w:rsidRDefault="00AB1EE1" w:rsidP="00865662">
      <w:pPr>
        <w:tabs>
          <w:tab w:val="num" w:pos="426"/>
        </w:tabs>
        <w:spacing w:after="0" w:line="240" w:lineRule="auto"/>
        <w:ind w:left="426" w:hanging="54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B1EE1" w:rsidRDefault="00AB1EE1" w:rsidP="0048424B">
      <w:pPr>
        <w:pStyle w:val="1"/>
        <w:ind w:left="-57" w:right="-57" w:firstLine="357"/>
        <w:contextualSpacing/>
        <w:rPr>
          <w:sz w:val="28"/>
        </w:rPr>
      </w:pPr>
      <w:r w:rsidRPr="00991790">
        <w:rPr>
          <w:sz w:val="28"/>
        </w:rPr>
        <w:t>ГОСУДАРСТВЕННЫЙ БАЛАНС ЗАПАСОВ УГЛЯ ЗА _____ ГОД</w:t>
      </w:r>
    </w:p>
    <w:p w:rsidR="00991790" w:rsidRPr="00991790" w:rsidRDefault="00991790" w:rsidP="0048424B">
      <w:pPr>
        <w:spacing w:after="0" w:line="240" w:lineRule="auto"/>
        <w:ind w:firstLine="720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991790">
        <w:rPr>
          <w:rFonts w:ascii="Times New Roman" w:hAnsi="Times New Roman" w:cs="Times New Roman"/>
          <w:sz w:val="20"/>
          <w:szCs w:val="20"/>
        </w:rPr>
        <w:t>Единица измерения запасов</w:t>
      </w:r>
      <w:r w:rsidR="00196F04">
        <w:rPr>
          <w:rFonts w:ascii="Times New Roman" w:hAnsi="Times New Roman" w:cs="Times New Roman"/>
          <w:sz w:val="20"/>
          <w:szCs w:val="20"/>
        </w:rPr>
        <w:t xml:space="preserve">,    </w:t>
      </w:r>
      <w:r w:rsidRPr="00991790">
        <w:rPr>
          <w:rFonts w:ascii="Times New Roman" w:hAnsi="Times New Roman" w:cs="Times New Roman"/>
          <w:b/>
          <w:sz w:val="20"/>
          <w:szCs w:val="20"/>
          <w:u w:val="single"/>
        </w:rPr>
        <w:t>тыс. тонн</w:t>
      </w:r>
      <w:r w:rsidRPr="00991790">
        <w:rPr>
          <w:rFonts w:ascii="Times New Roman" w:hAnsi="Times New Roman" w:cs="Times New Roman"/>
          <w:sz w:val="20"/>
          <w:szCs w:val="20"/>
        </w:rPr>
        <w:t>_</w:t>
      </w:r>
    </w:p>
    <w:tbl>
      <w:tblPr>
        <w:tblW w:w="22680" w:type="dxa"/>
        <w:tblInd w:w="-1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222"/>
        <w:gridCol w:w="1859"/>
        <w:gridCol w:w="1149"/>
        <w:gridCol w:w="1114"/>
        <w:gridCol w:w="1184"/>
        <w:gridCol w:w="1149"/>
        <w:gridCol w:w="1150"/>
        <w:gridCol w:w="1149"/>
        <w:gridCol w:w="1149"/>
        <w:gridCol w:w="1149"/>
        <w:gridCol w:w="1150"/>
        <w:gridCol w:w="822"/>
        <w:gridCol w:w="822"/>
        <w:gridCol w:w="822"/>
        <w:gridCol w:w="822"/>
        <w:gridCol w:w="823"/>
        <w:gridCol w:w="1134"/>
        <w:gridCol w:w="1276"/>
        <w:gridCol w:w="1275"/>
      </w:tblGrid>
      <w:tr w:rsidR="00931A37" w:rsidRPr="00A05F62" w:rsidTr="0096401A">
        <w:trPr>
          <w:cantSplit/>
          <w:trHeight w:val="928"/>
        </w:trPr>
        <w:tc>
          <w:tcPr>
            <w:tcW w:w="46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Министерство (ведомство)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Организация, предприятие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Бассейн, угленосный район, месторождение, участок, шахта, разрез.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Год ввода в строительство,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в эксплуатацию.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Глубина в </w:t>
            </w:r>
            <w:proofErr w:type="gramStart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05F62">
              <w:rPr>
                <w:rFonts w:ascii="Times New Roman" w:hAnsi="Times New Roman" w:cs="Times New Roman"/>
                <w:position w:val="-14"/>
                <w:sz w:val="18"/>
                <w:szCs w:val="18"/>
              </w:rPr>
              <w:object w:dxaOrig="11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19.2pt" o:ole="" fillcolor="window">
                  <v:imagedata r:id="rId15" o:title=""/>
                </v:shape>
                <o:OLEObject Type="Embed" ProgID="Equation.3" ShapeID="_x0000_i1025" DrawAspect="Content" ObjectID="_1564580675" r:id="rId16"/>
              </w:objec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Степень освоения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Марка угля, технологическая группа;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а) зола А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б) сера </w:t>
            </w:r>
            <w:proofErr w:type="spellStart"/>
            <w:r w:rsidRPr="00A05F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proofErr w:type="spellEnd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в) влага </w:t>
            </w:r>
            <w:proofErr w:type="spellStart"/>
            <w:r w:rsidRPr="00A05F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</w:t>
            </w:r>
            <w:proofErr w:type="spellEnd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г) удельная теплота сгорания </w:t>
            </w:r>
            <w:proofErr w:type="spellStart"/>
            <w:r w:rsidRPr="00A05F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i</w:t>
            </w:r>
            <w:proofErr w:type="spellEnd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,МДж/кг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1A37" w:rsidRPr="00CF5060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Состояние запасов на 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января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20__</w:t>
            </w:r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08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Изменение балансовых запасов за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в результате: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Состояние запасов на 1 января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 xml:space="preserve"> г..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Балансовые запасы, утверждённые ГКЗ, ТКЗ</w:t>
            </w:r>
          </w:p>
        </w:tc>
      </w:tr>
      <w:tr w:rsidR="00931A37" w:rsidRPr="00A05F62" w:rsidTr="0096401A">
        <w:trPr>
          <w:cantSplit/>
          <w:trHeight w:val="570"/>
        </w:trPr>
        <w:tc>
          <w:tcPr>
            <w:tcW w:w="460" w:type="dxa"/>
            <w:vMerge/>
            <w:tcBorders>
              <w:top w:val="nil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nil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1A37" w:rsidRPr="00A05F62" w:rsidRDefault="00196F04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CF5060">
              <w:rPr>
                <w:rFonts w:ascii="Times New Roman" w:eastAsia="Calibri" w:hAnsi="Times New Roman" w:cs="Times New Roman"/>
                <w:sz w:val="18"/>
                <w:szCs w:val="18"/>
              </w:rPr>
              <w:t>забалансовые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добычи 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добычи 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потерь при добыче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разведки 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pStyle w:val="a9"/>
              <w:contextualSpacing/>
              <w:rPr>
                <w:szCs w:val="18"/>
              </w:rPr>
            </w:pPr>
            <w:r w:rsidRPr="00A05F62">
              <w:rPr>
                <w:szCs w:val="18"/>
              </w:rPr>
              <w:t xml:space="preserve">списания </w:t>
            </w:r>
            <w:proofErr w:type="spellStart"/>
            <w:r w:rsidRPr="00A05F62">
              <w:rPr>
                <w:szCs w:val="18"/>
              </w:rPr>
              <w:t>неподтвер</w:t>
            </w:r>
            <w:r w:rsidR="00991790">
              <w:rPr>
                <w:szCs w:val="18"/>
              </w:rPr>
              <w:softHyphen/>
            </w:r>
            <w:r w:rsidRPr="00A05F62">
              <w:rPr>
                <w:szCs w:val="18"/>
              </w:rPr>
              <w:t>дившихся</w:t>
            </w:r>
            <w:proofErr w:type="spellEnd"/>
            <w:r w:rsidRPr="00A05F62">
              <w:rPr>
                <w:szCs w:val="18"/>
              </w:rPr>
              <w:t xml:space="preserve"> запасов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pStyle w:val="a9"/>
              <w:ind w:left="-57" w:right="-57"/>
              <w:contextualSpacing/>
              <w:rPr>
                <w:szCs w:val="18"/>
              </w:rPr>
            </w:pPr>
            <w:r w:rsidRPr="00A05F62">
              <w:rPr>
                <w:szCs w:val="18"/>
              </w:rPr>
              <w:t>переоценки, изменения технических границ и др. причинам</w:t>
            </w:r>
          </w:p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балансовые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забалансо</w:t>
            </w:r>
            <w:r w:rsidR="00196F04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вые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на дату утверждения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31A37" w:rsidRPr="00A05F62" w:rsidRDefault="00931A37" w:rsidP="0048424B">
            <w:pPr>
              <w:pStyle w:val="3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год утверждения и № протокола.</w:t>
            </w: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Группа сложности</w:t>
            </w:r>
          </w:p>
        </w:tc>
      </w:tr>
      <w:tr w:rsidR="00931A37" w:rsidRPr="00A05F62" w:rsidTr="0096401A">
        <w:trPr>
          <w:cantSplit/>
          <w:trHeight w:val="1845"/>
        </w:trPr>
        <w:tc>
          <w:tcPr>
            <w:tcW w:w="4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pStyle w:val="a9"/>
              <w:contextualSpacing/>
              <w:rPr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pStyle w:val="a9"/>
              <w:contextualSpacing/>
              <w:rPr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5F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A37" w:rsidRPr="00A05F62" w:rsidTr="0096401A">
        <w:trPr>
          <w:cantSplit/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pStyle w:val="a9"/>
              <w:contextualSpacing/>
              <w:rPr>
                <w:szCs w:val="18"/>
              </w:rPr>
            </w:pPr>
            <w:r w:rsidRPr="00A05F62">
              <w:rPr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pStyle w:val="a9"/>
              <w:contextualSpacing/>
              <w:rPr>
                <w:szCs w:val="18"/>
              </w:rPr>
            </w:pPr>
            <w:r w:rsidRPr="00A05F62">
              <w:rPr>
                <w:szCs w:val="18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F6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37" w:rsidRPr="00A05F62" w:rsidRDefault="00931A37" w:rsidP="00484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06480F" w:rsidRDefault="0006480F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1345" w:rsidRDefault="00701345" w:rsidP="004842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1B1" w:rsidRDefault="004141B1" w:rsidP="004842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EE1" w:rsidRPr="0096401A" w:rsidRDefault="00AB1EE1" w:rsidP="0048424B">
      <w:pPr>
        <w:tabs>
          <w:tab w:val="num" w:pos="426"/>
        </w:tabs>
        <w:spacing w:before="240"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B1EE1" w:rsidRPr="00993523" w:rsidRDefault="00AB1EE1" w:rsidP="0048424B">
      <w:pPr>
        <w:pStyle w:val="1"/>
        <w:ind w:left="-57" w:right="-57" w:firstLine="357"/>
        <w:contextualSpacing/>
        <w:rPr>
          <w:sz w:val="28"/>
        </w:rPr>
      </w:pPr>
      <w:r w:rsidRPr="00993523">
        <w:rPr>
          <w:sz w:val="28"/>
        </w:rPr>
        <w:t xml:space="preserve">ГОСУДАРСТВЕННЫЙ БАЛАНС ЗАПАСОВ НЕФТИ ЗА _____ ГОД </w:t>
      </w:r>
    </w:p>
    <w:tbl>
      <w:tblPr>
        <w:tblpPr w:leftFromText="180" w:rightFromText="180" w:horzAnchor="page" w:tblpX="905" w:tblpY="870"/>
        <w:tblW w:w="22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708"/>
        <w:gridCol w:w="709"/>
        <w:gridCol w:w="709"/>
        <w:gridCol w:w="567"/>
        <w:gridCol w:w="1417"/>
        <w:gridCol w:w="1560"/>
        <w:gridCol w:w="878"/>
        <w:gridCol w:w="964"/>
        <w:gridCol w:w="993"/>
        <w:gridCol w:w="850"/>
        <w:gridCol w:w="851"/>
        <w:gridCol w:w="850"/>
        <w:gridCol w:w="987"/>
        <w:gridCol w:w="988"/>
        <w:gridCol w:w="987"/>
        <w:gridCol w:w="988"/>
        <w:gridCol w:w="988"/>
        <w:gridCol w:w="1016"/>
        <w:gridCol w:w="1025"/>
        <w:gridCol w:w="1030"/>
        <w:gridCol w:w="1025"/>
        <w:gridCol w:w="1026"/>
      </w:tblGrid>
      <w:tr w:rsidR="00D23B2E" w:rsidRPr="00C35184" w:rsidTr="0096401A">
        <w:trPr>
          <w:gridAfter w:val="19"/>
          <w:wAfter w:w="18990" w:type="dxa"/>
          <w:cantSplit/>
        </w:trPr>
        <w:tc>
          <w:tcPr>
            <w:tcW w:w="1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запасы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геологические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, тыс. т</w:t>
            </w:r>
          </w:p>
        </w:tc>
      </w:tr>
      <w:tr w:rsidR="00D23B2E" w:rsidRPr="00C35184" w:rsidTr="0096401A">
        <w:trPr>
          <w:gridAfter w:val="19"/>
          <w:wAfter w:w="18990" w:type="dxa"/>
          <w:cantSplit/>
        </w:trPr>
        <w:tc>
          <w:tcPr>
            <w:tcW w:w="16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извлекаемые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B2E" w:rsidRPr="00C35184" w:rsidTr="00964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B2E" w:rsidRPr="00C35184" w:rsidRDefault="00931A37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Область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Министерство, </w:t>
            </w:r>
            <w:r w:rsidR="009D3A8B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Объединение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освоения.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Месторождение и его тип.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Продуктивные отложения.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Коллектор (карбонатный,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терригенный).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Глубина залегания, м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Параметры пласта:</w:t>
            </w:r>
          </w:p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а) площадь нефте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ности, тыс</w:t>
            </w:r>
            <w:proofErr w:type="gramStart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б)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не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>фтенасыщенная</w:t>
            </w:r>
            <w:proofErr w:type="spellEnd"/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толщина (общая/ эф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фективная), м;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в) открытая пористость;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г)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нефтенасыщенность</w:t>
            </w:r>
            <w:proofErr w:type="spellEnd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д) коэффициент извлечения нефти;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е) проницаемость,</w:t>
            </w:r>
            <w:r w:rsidR="00C35184" w:rsidRPr="00C35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мкм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C35184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hAnsi="Times New Roman" w:cs="Times New Roman"/>
                <w:sz w:val="18"/>
                <w:szCs w:val="18"/>
              </w:rPr>
              <w:t>ж) пересчетный коэф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фициент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Качественная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нефти: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а) плотность</w:t>
            </w:r>
            <w:proofErr w:type="gramStart"/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proofErr w:type="gramEnd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г/см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D23B2E" w:rsidRPr="00C35184" w:rsidRDefault="009D3A8B" w:rsidP="0096401A">
            <w:pPr>
              <w:pStyle w:val="21"/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б) вязкость 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пластовых </w:t>
            </w:r>
            <w:proofErr w:type="spellStart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усло-виях</w:t>
            </w:r>
            <w:proofErr w:type="spellEnd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мПа </w:t>
            </w:r>
            <w:proofErr w:type="gramStart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в) содержание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серы, %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д)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смол и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асфаль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тенов</w:t>
            </w:r>
            <w:proofErr w:type="spellEnd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е)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пластовая темпе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ратура,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о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ж) температура за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стывания нефти,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о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а) год открытия;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б) год ввода в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разработку;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в) год ввода в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консервацию;</w:t>
            </w:r>
          </w:p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г) добыча с нача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ла разра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ботки;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д) добыча на дату утв.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запасов ГКЗ;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е) степень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выр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>а-ботанности</w:t>
            </w:r>
            <w:proofErr w:type="spellEnd"/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ж) </w:t>
            </w: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обводненность</w:t>
            </w:r>
            <w:proofErr w:type="spellEnd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з) темп отбора, %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 запасы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на 1 января 20</w:t>
            </w:r>
            <w:r w:rsidR="00C35184" w:rsidRPr="00C3518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544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 балансовых запасов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 20</w:t>
            </w:r>
            <w:r w:rsidR="00C35184" w:rsidRPr="00C3518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в результате:</w:t>
            </w:r>
          </w:p>
        </w:tc>
        <w:tc>
          <w:tcPr>
            <w:tcW w:w="5954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Запасы на 1 января 2</w:t>
            </w:r>
            <w:r w:rsidR="00C35184" w:rsidRPr="00C35184">
              <w:rPr>
                <w:rFonts w:ascii="Times New Roman" w:hAnsi="Times New Roman" w:cs="Times New Roman"/>
                <w:sz w:val="18"/>
                <w:szCs w:val="18"/>
              </w:rPr>
              <w:t>0__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4106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Запасы утвержденные ГКЗ</w:t>
            </w:r>
          </w:p>
        </w:tc>
      </w:tr>
      <w:tr w:rsidR="00D23B2E" w:rsidRPr="00C35184" w:rsidTr="00964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lef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64" w:type="dxa"/>
            <w:vMerge w:val="restart"/>
            <w:tcBorders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добычи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развед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перео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ценки и передачи с баланса на баланс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Списа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неподтверд</w:t>
            </w:r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ившихся</w:t>
            </w:r>
            <w:proofErr w:type="spellEnd"/>
            <w:r w:rsidR="00D23B2E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запасов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5"/>
            <w:tcBorders>
              <w:lef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балансовые</w:t>
            </w:r>
          </w:p>
        </w:tc>
        <w:tc>
          <w:tcPr>
            <w:tcW w:w="1016" w:type="dxa"/>
            <w:vMerge w:val="restart"/>
            <w:tcBorders>
              <w:right w:val="single" w:sz="8" w:space="0" w:color="auto"/>
            </w:tcBorders>
            <w:vAlign w:val="center"/>
          </w:tcPr>
          <w:p w:rsidR="00D23B2E" w:rsidRPr="00C35184" w:rsidRDefault="009D3A8B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Забалансо</w:t>
            </w:r>
            <w:r w:rsidR="00991790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вые</w:t>
            </w:r>
            <w:proofErr w:type="spellEnd"/>
          </w:p>
        </w:tc>
        <w:tc>
          <w:tcPr>
            <w:tcW w:w="2055" w:type="dxa"/>
            <w:gridSpan w:val="2"/>
            <w:tcBorders>
              <w:lef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на дату утверждения</w:t>
            </w:r>
          </w:p>
        </w:tc>
        <w:tc>
          <w:tcPr>
            <w:tcW w:w="1025" w:type="dxa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остаток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на 1 01.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35184" w:rsidRPr="00C3518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26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  <w:r w:rsidR="009D3A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3A8B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утверждения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</w:p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="009D3A8B"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протокола</w:t>
            </w:r>
          </w:p>
        </w:tc>
      </w:tr>
      <w:tr w:rsidR="00D23B2E" w:rsidRPr="00C35184" w:rsidTr="00964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lef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88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987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88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88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16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left w:val="nil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30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25" w:type="dxa"/>
            <w:vMerge w:val="restart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26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3B2E" w:rsidRPr="00C35184" w:rsidTr="00964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184">
              <w:rPr>
                <w:rFonts w:ascii="Times New Roman" w:eastAsia="Calibri" w:hAnsi="Times New Roman" w:cs="Times New Roman"/>
                <w:sz w:val="18"/>
                <w:szCs w:val="18"/>
              </w:rPr>
              <w:t>А+В+С</w:t>
            </w:r>
            <w:r w:rsidRPr="00C35184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87" w:type="dxa"/>
            <w:vMerge/>
            <w:tcBorders>
              <w:lef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right w:val="single" w:sz="8" w:space="0" w:color="auto"/>
            </w:tcBorders>
          </w:tcPr>
          <w:p w:rsidR="00D23B2E" w:rsidRPr="00C35184" w:rsidRDefault="00D23B2E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1A37" w:rsidRPr="00C35184" w:rsidTr="00964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lef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7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8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8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30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5" w:type="dxa"/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center"/>
          </w:tcPr>
          <w:p w:rsidR="00931A37" w:rsidRPr="00C35184" w:rsidRDefault="00991790" w:rsidP="0096401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</w:tbl>
    <w:p w:rsidR="00AB1EE1" w:rsidRDefault="00AB1EE1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41B1" w:rsidRDefault="004141B1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345" w:rsidRPr="0096401A" w:rsidRDefault="00701345" w:rsidP="0048424B">
      <w:pPr>
        <w:tabs>
          <w:tab w:val="num" w:pos="426"/>
        </w:tabs>
        <w:spacing w:before="240" w:after="0" w:line="240" w:lineRule="auto"/>
        <w:ind w:left="16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401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35184" w:rsidRPr="00983B01" w:rsidRDefault="00C35184" w:rsidP="0048424B">
      <w:pPr>
        <w:pStyle w:val="1"/>
        <w:keepNext w:val="0"/>
        <w:widowControl w:val="0"/>
        <w:ind w:right="360"/>
        <w:contextualSpacing/>
        <w:rPr>
          <w:sz w:val="24"/>
          <w:szCs w:val="24"/>
        </w:rPr>
      </w:pPr>
      <w:r w:rsidRPr="00983B01">
        <w:rPr>
          <w:sz w:val="24"/>
          <w:szCs w:val="24"/>
        </w:rPr>
        <w:t xml:space="preserve">ГОСУДАРСТВЕННЫЙ БАЛАНС ЗАПАСОВ ПРИРОДНЫХ ГОРЮЧИХ ГАЗОВ ЗА </w:t>
      </w:r>
      <w:r>
        <w:rPr>
          <w:sz w:val="24"/>
          <w:szCs w:val="24"/>
        </w:rPr>
        <w:t>20</w:t>
      </w:r>
      <w:r w:rsidR="00993523">
        <w:rPr>
          <w:sz w:val="24"/>
          <w:szCs w:val="24"/>
        </w:rPr>
        <w:t>_____</w:t>
      </w:r>
      <w:r w:rsidRPr="00983B01">
        <w:rPr>
          <w:sz w:val="24"/>
          <w:szCs w:val="24"/>
        </w:rPr>
        <w:t xml:space="preserve"> год</w:t>
      </w:r>
    </w:p>
    <w:p w:rsidR="00C35184" w:rsidRPr="00993523" w:rsidRDefault="00C35184" w:rsidP="0048424B">
      <w:pPr>
        <w:widowControl w:val="0"/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3523">
        <w:rPr>
          <w:rFonts w:ascii="Times New Roman" w:hAnsi="Times New Roman" w:cs="Times New Roman"/>
          <w:b/>
          <w:sz w:val="24"/>
          <w:szCs w:val="24"/>
        </w:rPr>
        <w:t>Запасы в млн. м</w:t>
      </w:r>
      <w:r w:rsidRPr="0099352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395"/>
        <w:gridCol w:w="2432"/>
        <w:gridCol w:w="2501"/>
        <w:gridCol w:w="832"/>
        <w:gridCol w:w="1265"/>
        <w:gridCol w:w="648"/>
        <w:gridCol w:w="923"/>
        <w:gridCol w:w="841"/>
        <w:gridCol w:w="846"/>
        <w:gridCol w:w="568"/>
        <w:gridCol w:w="846"/>
        <w:gridCol w:w="846"/>
        <w:gridCol w:w="402"/>
        <w:gridCol w:w="401"/>
        <w:gridCol w:w="402"/>
        <w:gridCol w:w="441"/>
        <w:gridCol w:w="402"/>
        <w:gridCol w:w="441"/>
        <w:gridCol w:w="740"/>
        <w:gridCol w:w="676"/>
        <w:gridCol w:w="1170"/>
        <w:gridCol w:w="718"/>
      </w:tblGrid>
      <w:tr w:rsidR="00993523" w:rsidRPr="00E01A4A" w:rsidTr="00993523">
        <w:trPr>
          <w:cantSplit/>
          <w:trHeight w:val="720"/>
        </w:trPr>
        <w:tc>
          <w:tcPr>
            <w:tcW w:w="0" w:type="auto"/>
            <w:vMerge w:val="restart"/>
            <w:vAlign w:val="center"/>
          </w:tcPr>
          <w:p w:rsidR="00C35184" w:rsidRDefault="00993523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93523" w:rsidRPr="00E01A4A" w:rsidRDefault="00993523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066EF5" w:rsidRDefault="00C35184" w:rsidP="0048424B">
            <w:pPr>
              <w:pStyle w:val="23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Министерство,</w:t>
            </w:r>
          </w:p>
          <w:p w:rsidR="00066EF5" w:rsidRDefault="00C35184" w:rsidP="0048424B">
            <w:pPr>
              <w:pStyle w:val="23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Управлен</w:t>
            </w:r>
            <w:r w:rsidR="00066EF5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5184" w:rsidRPr="00E01A4A" w:rsidRDefault="00C35184" w:rsidP="0048424B">
            <w:pPr>
              <w:pStyle w:val="23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Объединен</w:t>
            </w:r>
            <w:r w:rsidR="00066EF5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6EF5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Степень промышл</w:t>
            </w:r>
            <w:r w:rsidR="00066EF5">
              <w:rPr>
                <w:rFonts w:ascii="Times New Roman" w:hAnsi="Times New Roman" w:cs="Times New Roman"/>
                <w:sz w:val="18"/>
                <w:szCs w:val="18"/>
              </w:rPr>
              <w:t>енного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освоения </w:t>
            </w:r>
            <w:r w:rsidR="00066EF5">
              <w:rPr>
                <w:rFonts w:ascii="Times New Roman" w:hAnsi="Times New Roman" w:cs="Times New Roman"/>
                <w:sz w:val="18"/>
                <w:szCs w:val="18"/>
              </w:rPr>
              <w:t>месторождения.</w:t>
            </w:r>
          </w:p>
          <w:p w:rsidR="00C35184" w:rsidRPr="00E01A4A" w:rsidRDefault="00066EF5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 тип месторождения</w:t>
            </w:r>
            <w:r w:rsidR="00C35184" w:rsidRPr="00E01A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6EF5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Адрес.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Продуктивные отложения.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Глубина залегания, м</w:t>
            </w:r>
          </w:p>
        </w:tc>
        <w:tc>
          <w:tcPr>
            <w:tcW w:w="0" w:type="auto"/>
            <w:vMerge w:val="restart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Параметры пласта:</w:t>
            </w:r>
          </w:p>
          <w:p w:rsidR="00C35184" w:rsidRPr="00E01A4A" w:rsidRDefault="00C35184" w:rsidP="0048424B">
            <w:pPr>
              <w:pStyle w:val="3"/>
              <w:keepNext w:val="0"/>
              <w:widowControl w:val="0"/>
              <w:spacing w:before="0" w:line="240" w:lineRule="auto"/>
              <w:ind w:left="-57" w:right="-57"/>
              <w:contextualSpacing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u w:val="single"/>
              </w:rPr>
            </w:pPr>
            <w:r w:rsidRPr="00E01A4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u w:val="single"/>
              </w:rPr>
              <w:t>для свободного газа</w:t>
            </w:r>
          </w:p>
          <w:p w:rsid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площ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газоносн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, тыс. м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; б</w:t>
            </w:r>
            <w:proofErr w:type="gram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азонасыщ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толщина, м;</w:t>
            </w:r>
          </w:p>
          <w:p w:rsid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в) открыт. пор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>истость кДж</w:t>
            </w:r>
          </w:p>
          <w:p w:rsid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газо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>насыщенность</w:t>
            </w:r>
            <w:proofErr w:type="spellEnd"/>
          </w:p>
          <w:p w:rsid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д)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коэфф</w:t>
            </w:r>
            <w:proofErr w:type="spellEnd"/>
            <w:r w:rsidR="00E01A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извлеч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е)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текущ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 пластовое</w:t>
            </w:r>
          </w:p>
          <w:p w:rsidR="00E01A4A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давление на 1.01. 20</w:t>
            </w:r>
            <w:r w:rsidR="00E01A4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г, Мпа.</w:t>
            </w:r>
          </w:p>
          <w:p w:rsidR="00E01A4A" w:rsidRPr="00E01A4A" w:rsidRDefault="00993523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для </w:t>
            </w:r>
            <w:r w:rsidR="00C35184" w:rsidRPr="00E01A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растворенного газа: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ж)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газосодержание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/т</w:t>
            </w:r>
          </w:p>
        </w:tc>
        <w:tc>
          <w:tcPr>
            <w:tcW w:w="0" w:type="auto"/>
            <w:vMerge w:val="restart"/>
            <w:vAlign w:val="center"/>
          </w:tcPr>
          <w:p w:rsidR="00066EF5" w:rsidRP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>еств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>енная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</w:t>
            </w:r>
            <w:r w:rsidR="00066EF5" w:rsidRPr="00066EF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EF5" w:rsidRPr="00066EF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  <w:p w:rsidR="00C35184" w:rsidRPr="00066EF5" w:rsidRDefault="00066EF5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 xml:space="preserve">газа </w:t>
            </w:r>
            <w:proofErr w:type="gramStart"/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 xml:space="preserve"> вод.</w:t>
            </w:r>
          </w:p>
          <w:p w:rsid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низшая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>творная способность, кДж;</w:t>
            </w:r>
          </w:p>
          <w:p w:rsid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тяжел</w:t>
            </w:r>
            <w:proofErr w:type="gramStart"/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6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глево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дородов без С</w:t>
            </w:r>
            <w:r w:rsidRPr="00066E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3+</w:t>
            </w:r>
            <w:r w:rsidR="00066EF5">
              <w:rPr>
                <w:rFonts w:ascii="Times New Roman" w:hAnsi="Times New Roman" w:cs="Times New Roman"/>
                <w:sz w:val="20"/>
                <w:szCs w:val="20"/>
              </w:rPr>
              <w:t>,  %;</w:t>
            </w:r>
          </w:p>
          <w:p w:rsidR="00993523" w:rsidRDefault="00066EF5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текущее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>ание стабильного конденса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та, </w:t>
            </w:r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>г/м</w:t>
            </w:r>
            <w:r w:rsidR="00C35184" w:rsidRPr="00066E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993523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>ание, %;</w:t>
            </w:r>
          </w:p>
          <w:p w:rsidR="00993523" w:rsidRDefault="00993523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сероводо</w:t>
            </w:r>
            <w:r w:rsidR="00C35184" w:rsidRPr="00066EF5">
              <w:rPr>
                <w:rFonts w:ascii="Times New Roman" w:hAnsi="Times New Roman" w:cs="Times New Roman"/>
                <w:sz w:val="20"/>
                <w:szCs w:val="20"/>
              </w:rPr>
              <w:t>рода;</w:t>
            </w:r>
          </w:p>
          <w:p w:rsidR="00C35184" w:rsidRP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азота;</w:t>
            </w:r>
          </w:p>
          <w:p w:rsidR="00993523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ж)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углекисл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>ого газа</w:t>
            </w:r>
          </w:p>
          <w:p w:rsidR="00C35184" w:rsidRP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  <w:r w:rsidR="00993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пласт.</w:t>
            </w:r>
          </w:p>
          <w:p w:rsidR="00C35184" w:rsidRPr="00066EF5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6E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66E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0" w:type="auto"/>
            <w:gridSpan w:val="2"/>
            <w:vMerge w:val="restart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Годы:</w:t>
            </w:r>
          </w:p>
          <w:p w:rsidR="00C35184" w:rsidRPr="00E01A4A" w:rsidRDefault="00C35184" w:rsidP="0048424B">
            <w:pPr>
              <w:pStyle w:val="23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а) открытия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б) ввода в разработку</w:t>
            </w:r>
          </w:p>
          <w:p w:rsidR="00C35184" w:rsidRPr="00E01A4A" w:rsidRDefault="00C35184" w:rsidP="0048424B">
            <w:pPr>
              <w:pStyle w:val="af"/>
              <w:widowControl w:val="0"/>
              <w:contextualSpacing/>
              <w:jc w:val="left"/>
              <w:rPr>
                <w:sz w:val="18"/>
                <w:szCs w:val="18"/>
              </w:rPr>
            </w:pPr>
            <w:r w:rsidRPr="00E01A4A">
              <w:rPr>
                <w:sz w:val="18"/>
                <w:szCs w:val="18"/>
              </w:rPr>
              <w:t xml:space="preserve">в) </w:t>
            </w:r>
            <w:proofErr w:type="spellStart"/>
            <w:r w:rsidRPr="00E01A4A">
              <w:rPr>
                <w:sz w:val="18"/>
                <w:szCs w:val="18"/>
              </w:rPr>
              <w:t>консерв</w:t>
            </w:r>
            <w:proofErr w:type="spellEnd"/>
            <w:r w:rsidRPr="00E01A4A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Вид газа (растворенный - Р, газовая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шапка –ГШ, свободный - СВ</w:t>
            </w:r>
          </w:p>
        </w:tc>
        <w:tc>
          <w:tcPr>
            <w:tcW w:w="0" w:type="auto"/>
            <w:gridSpan w:val="2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Балансовые запасы на 01.01. 20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Изменение балансовых запасов за 20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год в результате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Запасы на 1 января 20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Балансовые запасы, утвержденные ГКЗ СССР, КР</w:t>
            </w:r>
          </w:p>
        </w:tc>
      </w:tr>
      <w:tr w:rsidR="00993523" w:rsidRPr="00E01A4A" w:rsidTr="00993523">
        <w:trPr>
          <w:cantSplit/>
          <w:trHeight w:val="460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pStyle w:val="4"/>
              <w:keepNext w:val="0"/>
              <w:widowControl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добычи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потерь при добыче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разведки 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pStyle w:val="31"/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переоценки и передачи с</w:t>
            </w:r>
          </w:p>
          <w:p w:rsidR="00C35184" w:rsidRPr="00E01A4A" w:rsidRDefault="00C35184" w:rsidP="0048424B">
            <w:pPr>
              <w:pStyle w:val="31"/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баланса на баланс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списания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неподтвердив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шихся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 запасов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балансовые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84" w:rsidRPr="00E01A4A" w:rsidRDefault="00993523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Забалансовые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на дату утверждения</w:t>
            </w:r>
          </w:p>
        </w:tc>
        <w:tc>
          <w:tcPr>
            <w:tcW w:w="0" w:type="auto"/>
            <w:vMerge w:val="restart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остаток на 1 января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год утверждения и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№ протокола</w:t>
            </w:r>
          </w:p>
        </w:tc>
      </w:tr>
      <w:tr w:rsidR="00993523" w:rsidRPr="00E01A4A" w:rsidTr="00993523">
        <w:trPr>
          <w:cantSplit/>
          <w:trHeight w:val="130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113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доб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.+пот</w:t>
            </w: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3" w:rsidRPr="00E01A4A" w:rsidTr="00993523">
        <w:trPr>
          <w:cantSplit/>
          <w:trHeight w:val="170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потери</w:t>
            </w: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3" w:rsidRPr="00E01A4A" w:rsidTr="00993523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 начала разработки;</w:t>
            </w:r>
          </w:p>
          <w:p w:rsidR="00C35184" w:rsidRPr="00E01A4A" w:rsidRDefault="00C35184" w:rsidP="0048424B">
            <w:pPr>
              <w:widowControl w:val="0"/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 xml:space="preserve">д) </w:t>
            </w:r>
            <w:proofErr w:type="spellStart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доб</w:t>
            </w:r>
            <w:proofErr w:type="spellEnd"/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.+пот. на дату утв. запасов ГКЗ</w:t>
            </w:r>
            <w:r w:rsidR="0099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СССР, КР</w:t>
            </w: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3" w:rsidRPr="00E01A4A" w:rsidTr="00993523">
        <w:trPr>
          <w:cantSplit/>
          <w:trHeight w:val="878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49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3" w:rsidRPr="00E01A4A" w:rsidTr="00993523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А+В+С</w:t>
            </w:r>
            <w:r w:rsidRPr="00E01A4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523" w:rsidRPr="00E01A4A" w:rsidTr="00993523">
        <w:trPr>
          <w:cantSplit/>
        </w:trPr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8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ind w:left="-7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C35184" w:rsidRPr="00E01A4A" w:rsidRDefault="00C35184" w:rsidP="004842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A4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06480F" w:rsidRDefault="0006480F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401A" w:rsidRDefault="00964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480F" w:rsidRPr="0006480F" w:rsidRDefault="0006480F" w:rsidP="0048424B">
      <w:pPr>
        <w:tabs>
          <w:tab w:val="num" w:pos="426"/>
        </w:tabs>
        <w:spacing w:after="0" w:line="240" w:lineRule="auto"/>
        <w:ind w:left="16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80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06480F" w:rsidRPr="00701345" w:rsidRDefault="0006480F" w:rsidP="0048424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01345">
        <w:rPr>
          <w:rFonts w:ascii="Times New Roman" w:hAnsi="Times New Roman" w:cs="Times New Roman"/>
          <w:b/>
          <w:sz w:val="28"/>
        </w:rPr>
        <w:t>ГОСУДАРСТВЕННЫЙ БАЛАНС ЭКСПЛУАТАЦИОННЫХ ЗАПАСОВ</w:t>
      </w:r>
      <w:r w:rsidR="00541C69">
        <w:rPr>
          <w:rFonts w:ascii="Times New Roman" w:hAnsi="Times New Roman" w:cs="Times New Roman"/>
          <w:b/>
          <w:sz w:val="28"/>
        </w:rPr>
        <w:t xml:space="preserve"> </w:t>
      </w:r>
      <w:r w:rsidRPr="00701345">
        <w:rPr>
          <w:rFonts w:ascii="Times New Roman" w:hAnsi="Times New Roman" w:cs="Times New Roman"/>
          <w:b/>
          <w:sz w:val="28"/>
        </w:rPr>
        <w:t>ПОДЗЕМНЫХ ВОД ПО СОСТОЯНИЮ НА 1.01.20</w:t>
      </w:r>
      <w:r>
        <w:rPr>
          <w:rFonts w:ascii="Times New Roman" w:hAnsi="Times New Roman" w:cs="Times New Roman"/>
          <w:b/>
          <w:sz w:val="28"/>
        </w:rPr>
        <w:t>___</w:t>
      </w:r>
      <w:r w:rsidRPr="00701345">
        <w:rPr>
          <w:rFonts w:ascii="Times New Roman" w:hAnsi="Times New Roman" w:cs="Times New Roman"/>
          <w:b/>
          <w:sz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516"/>
        <w:gridCol w:w="1860"/>
        <w:gridCol w:w="2313"/>
        <w:gridCol w:w="2352"/>
        <w:gridCol w:w="2075"/>
        <w:gridCol w:w="1588"/>
        <w:gridCol w:w="512"/>
        <w:gridCol w:w="495"/>
        <w:gridCol w:w="595"/>
        <w:gridCol w:w="595"/>
        <w:gridCol w:w="1035"/>
        <w:gridCol w:w="1542"/>
        <w:gridCol w:w="1700"/>
        <w:gridCol w:w="1381"/>
      </w:tblGrid>
      <w:tr w:rsidR="0006480F" w:rsidRPr="00701345" w:rsidTr="0006480F">
        <w:trPr>
          <w:cantSplit/>
          <w:trHeight w:val="1079"/>
        </w:trPr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1345">
              <w:rPr>
                <w:rFonts w:ascii="Times New Roman" w:eastAsia="Calibri" w:hAnsi="Times New Roman" w:cs="Times New Roman"/>
                <w:lang w:val="en-US"/>
              </w:rPr>
              <w:t>№№</w:t>
            </w:r>
          </w:p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134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Местоположение месторождения  (разведанного участка, водозабора)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1345">
              <w:rPr>
                <w:rFonts w:ascii="Times New Roman" w:eastAsia="Calibri" w:hAnsi="Times New Roman" w:cs="Times New Roman"/>
              </w:rPr>
              <w:t>Водопотребитель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 xml:space="preserve">Расстояние месторождения от </w:t>
            </w:r>
            <w:proofErr w:type="spellStart"/>
            <w:r w:rsidRPr="00701345">
              <w:rPr>
                <w:rFonts w:ascii="Times New Roman" w:eastAsia="Calibri" w:hAnsi="Times New Roman" w:cs="Times New Roman"/>
              </w:rPr>
              <w:t>водопотребителя</w:t>
            </w:r>
            <w:proofErr w:type="spellEnd"/>
            <w:r w:rsidRPr="00701345">
              <w:rPr>
                <w:rFonts w:ascii="Times New Roman" w:eastAsia="Calibri" w:hAnsi="Times New Roman" w:cs="Times New Roman"/>
              </w:rPr>
              <w:t>,  км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Водовмещающие породы, их возраст, сведения о напоре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Минерализация г/л, химический состав воды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Назначение вод</w:t>
            </w:r>
          </w:p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Заявленная потребность,</w:t>
            </w:r>
          </w:p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тыс. м</w:t>
            </w:r>
            <w:r w:rsidRPr="0070134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70134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1345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70134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vAlign w:val="center"/>
          </w:tcPr>
          <w:p w:rsidR="0006480F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 xml:space="preserve">Эксплуатационные запасы, утвержденные </w:t>
            </w:r>
            <w:r w:rsidRPr="00701345">
              <w:rPr>
                <w:rFonts w:ascii="Times New Roman" w:eastAsia="Calibri" w:hAnsi="Times New Roman" w:cs="Times New Roman"/>
                <w:spacing w:val="-2"/>
              </w:rPr>
              <w:t>ГКЗ СССР и ТКЗ</w:t>
            </w:r>
            <w:r>
              <w:rPr>
                <w:rFonts w:ascii="Times New Roman" w:eastAsia="Calibri" w:hAnsi="Times New Roman" w:cs="Times New Roman"/>
                <w:spacing w:val="-2"/>
              </w:rPr>
              <w:t>, ГКЗ Кыргызской Республики</w:t>
            </w:r>
            <w:r w:rsidRPr="00701345">
              <w:rPr>
                <w:rFonts w:ascii="Times New Roman" w:eastAsia="Calibri" w:hAnsi="Times New Roman" w:cs="Times New Roman"/>
              </w:rPr>
              <w:t>,</w:t>
            </w:r>
          </w:p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тыс. м</w:t>
            </w:r>
            <w:r w:rsidRPr="0070134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70134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1345">
              <w:rPr>
                <w:rFonts w:ascii="Times New Roman" w:eastAsia="Calibri" w:hAnsi="Times New Roman" w:cs="Times New Roman"/>
              </w:rPr>
              <w:t>сут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6480F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Год утверждени</w:t>
            </w:r>
            <w:r>
              <w:rPr>
                <w:rFonts w:ascii="Times New Roman" w:eastAsia="Calibri" w:hAnsi="Times New Roman" w:cs="Times New Roman"/>
              </w:rPr>
              <w:t>я,</w:t>
            </w:r>
          </w:p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№ протокола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Год ввода в эксплуатацию</w:t>
            </w:r>
          </w:p>
        </w:tc>
        <w:tc>
          <w:tcPr>
            <w:tcW w:w="0" w:type="auto"/>
            <w:vMerge w:val="restart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06480F" w:rsidRPr="00701345" w:rsidTr="0006480F">
        <w:trPr>
          <w:cantSplit/>
          <w:trHeight w:val="426"/>
        </w:trPr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pStyle w:val="1"/>
              <w:contextualSpacing/>
              <w:rPr>
                <w:b w:val="0"/>
                <w:sz w:val="22"/>
                <w:szCs w:val="22"/>
              </w:rPr>
            </w:pPr>
            <w:r w:rsidRPr="00701345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01345">
              <w:rPr>
                <w:rFonts w:ascii="Times New Roman" w:eastAsia="Calibri" w:hAnsi="Times New Roman" w:cs="Times New Roman"/>
              </w:rPr>
              <w:t>С</w:t>
            </w:r>
            <w:r w:rsidRPr="00701345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01345">
              <w:rPr>
                <w:rFonts w:ascii="Times New Roman" w:eastAsia="Calibri" w:hAnsi="Times New Roman" w:cs="Times New Roman"/>
              </w:rPr>
              <w:t>С</w:t>
            </w:r>
            <w:r w:rsidRPr="00701345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1345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480F" w:rsidRPr="00701345" w:rsidTr="0006480F">
        <w:trPr>
          <w:cantSplit/>
          <w:trHeight w:val="426"/>
        </w:trPr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pStyle w:val="1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06480F" w:rsidRPr="00701345" w:rsidRDefault="0006480F" w:rsidP="004842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</w:tbl>
    <w:p w:rsidR="00C35184" w:rsidRDefault="00C35184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3A9" w:rsidRDefault="00FD53A9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3A9" w:rsidRDefault="00FD53A9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3A9" w:rsidRPr="00EC39A0" w:rsidRDefault="00FD53A9" w:rsidP="0048424B">
      <w:pPr>
        <w:pStyle w:val="1"/>
        <w:keepNext w:val="0"/>
        <w:contextualSpacing/>
        <w:rPr>
          <w:sz w:val="27"/>
          <w:szCs w:val="27"/>
        </w:rPr>
      </w:pPr>
      <w:r w:rsidRPr="00EC39A0">
        <w:rPr>
          <w:sz w:val="27"/>
          <w:szCs w:val="27"/>
        </w:rPr>
        <w:t>ГОСУДАРСТВЕННЫЙ БАЛАНС ЗАПАСОВ</w:t>
      </w:r>
    </w:p>
    <w:p w:rsidR="00FD53A9" w:rsidRPr="00EC39A0" w:rsidRDefault="00FD53A9" w:rsidP="0048424B">
      <w:pPr>
        <w:pStyle w:val="3"/>
        <w:spacing w:line="240" w:lineRule="auto"/>
        <w:contextualSpacing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____________________________</w:t>
      </w:r>
      <w:r w:rsidRPr="00EC39A0">
        <w:rPr>
          <w:color w:val="auto"/>
          <w:sz w:val="27"/>
          <w:szCs w:val="27"/>
        </w:rPr>
        <w:t xml:space="preserve"> за </w:t>
      </w:r>
      <w:r>
        <w:rPr>
          <w:color w:val="auto"/>
          <w:sz w:val="27"/>
          <w:szCs w:val="27"/>
        </w:rPr>
        <w:t>_______________</w:t>
      </w:r>
      <w:r w:rsidRPr="00EC39A0">
        <w:rPr>
          <w:color w:val="auto"/>
          <w:sz w:val="27"/>
          <w:szCs w:val="27"/>
        </w:rPr>
        <w:t xml:space="preserve"> год</w:t>
      </w:r>
    </w:p>
    <w:p w:rsidR="00FD53A9" w:rsidRDefault="00FD53A9" w:rsidP="0048424B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 xml:space="preserve">Единица измерения запасов     </w:t>
      </w:r>
      <w:r w:rsidRPr="007F43E5">
        <w:rPr>
          <w:rFonts w:ascii="Times New Roman" w:hAnsi="Times New Roman" w:cs="Times New Roman"/>
          <w:sz w:val="23"/>
          <w:szCs w:val="23"/>
          <w:u w:val="single"/>
        </w:rPr>
        <w:t>_________________</w:t>
      </w:r>
    </w:p>
    <w:tbl>
      <w:tblPr>
        <w:tblStyle w:val="af0"/>
        <w:tblW w:w="0" w:type="auto"/>
        <w:tblInd w:w="-699" w:type="dxa"/>
        <w:tblLayout w:type="fixed"/>
        <w:tblLook w:val="04A0" w:firstRow="1" w:lastRow="0" w:firstColumn="1" w:lastColumn="0" w:noHBand="0" w:noVBand="1"/>
      </w:tblPr>
      <w:tblGrid>
        <w:gridCol w:w="565"/>
        <w:gridCol w:w="2270"/>
        <w:gridCol w:w="2126"/>
        <w:gridCol w:w="1134"/>
        <w:gridCol w:w="1134"/>
        <w:gridCol w:w="851"/>
        <w:gridCol w:w="708"/>
        <w:gridCol w:w="851"/>
        <w:gridCol w:w="709"/>
        <w:gridCol w:w="708"/>
        <w:gridCol w:w="993"/>
        <w:gridCol w:w="850"/>
        <w:gridCol w:w="992"/>
        <w:gridCol w:w="993"/>
        <w:gridCol w:w="993"/>
        <w:gridCol w:w="844"/>
        <w:gridCol w:w="695"/>
        <w:gridCol w:w="1052"/>
        <w:gridCol w:w="952"/>
        <w:gridCol w:w="992"/>
        <w:gridCol w:w="1383"/>
      </w:tblGrid>
      <w:tr w:rsidR="00FD53A9" w:rsidTr="0096401A">
        <w:tc>
          <w:tcPr>
            <w:tcW w:w="565" w:type="dxa"/>
            <w:vMerge w:val="restart"/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8E636E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FD53A9" w:rsidRPr="008E636E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270" w:type="dxa"/>
            <w:vMerge w:val="restart"/>
            <w:vAlign w:val="center"/>
          </w:tcPr>
          <w:p w:rsidR="00FD53A9" w:rsidRPr="00EC39A0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Область.</w:t>
            </w:r>
          </w:p>
          <w:p w:rsidR="00FD53A9" w:rsidRPr="00EC39A0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Министерство, объединение.</w:t>
            </w:r>
          </w:p>
          <w:p w:rsidR="00FD53A9" w:rsidRPr="00EC39A0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Комбинат, управление, мес</w:t>
            </w: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торождение, участок, шахта, карьер, местоположение.</w:t>
            </w:r>
          </w:p>
          <w:p w:rsidR="00FD53A9" w:rsidRPr="00EC39A0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Полезные ископаемые и компоненты, учитываемые дру</w:t>
            </w: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гими балансами.</w:t>
            </w:r>
          </w:p>
          <w:p w:rsidR="00FD53A9" w:rsidRPr="000B0266" w:rsidRDefault="00FD53A9" w:rsidP="0048424B">
            <w:pPr>
              <w:contextualSpacing/>
              <w:jc w:val="center"/>
              <w:rPr>
                <w:sz w:val="15"/>
                <w:szCs w:val="15"/>
              </w:rPr>
            </w:pP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Степень освоения.</w:t>
            </w:r>
          </w:p>
        </w:tc>
        <w:tc>
          <w:tcPr>
            <w:tcW w:w="2126" w:type="dxa"/>
            <w:vMerge w:val="restart"/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 xml:space="preserve">а) тип полезного ископаемого, сорт, марка; б) среднее содержание полезных компонентов и вредных примесей (выход </w:t>
            </w:r>
            <w:proofErr w:type="spellStart"/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полезн</w:t>
            </w:r>
            <w:proofErr w:type="spellEnd"/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. ископае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мого); в) влаж</w:t>
            </w: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ность; г) годовая проектная производительность предприятия; д) глубина подсчета запасов,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м; е) фактическая глубина разработки, м; ж) мощность полезной толщи (песков), м; з) коэффициент вскрыши; и) мощность и объем торфов</w:t>
            </w:r>
          </w:p>
        </w:tc>
        <w:tc>
          <w:tcPr>
            <w:tcW w:w="2268" w:type="dxa"/>
            <w:gridSpan w:val="2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36E">
              <w:rPr>
                <w:rFonts w:ascii="Times New Roman" w:hAnsi="Times New Roman" w:cs="Times New Roman"/>
              </w:rPr>
              <w:t>Балансовые запасы</w:t>
            </w:r>
          </w:p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36E">
              <w:rPr>
                <w:rFonts w:ascii="Times New Roman" w:hAnsi="Times New Roman" w:cs="Times New Roman"/>
              </w:rPr>
              <w:t>на 1 января</w:t>
            </w: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E636E">
              <w:rPr>
                <w:rFonts w:ascii="Times New Roman" w:hAnsi="Times New Roman" w:cs="Times New Roman"/>
              </w:rPr>
              <w:t>__________ г.</w:t>
            </w:r>
          </w:p>
        </w:tc>
        <w:tc>
          <w:tcPr>
            <w:tcW w:w="4820" w:type="dxa"/>
            <w:gridSpan w:val="6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A9" w:rsidRPr="00640760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760">
              <w:rPr>
                <w:rFonts w:ascii="Times New Roman" w:hAnsi="Times New Roman" w:cs="Times New Roman"/>
                <w:sz w:val="20"/>
                <w:szCs w:val="20"/>
              </w:rPr>
              <w:t>Изменения балансовых запасов за ___________год</w:t>
            </w: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640760">
              <w:rPr>
                <w:rFonts w:ascii="Times New Roman" w:hAnsi="Times New Roman" w:cs="Times New Roman"/>
                <w:sz w:val="20"/>
                <w:szCs w:val="20"/>
              </w:rPr>
              <w:t>в результате:</w:t>
            </w:r>
          </w:p>
        </w:tc>
        <w:tc>
          <w:tcPr>
            <w:tcW w:w="5367" w:type="dxa"/>
            <w:gridSpan w:val="6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Состояние запасов на 1 января __________ год</w:t>
            </w:r>
          </w:p>
        </w:tc>
        <w:tc>
          <w:tcPr>
            <w:tcW w:w="4379" w:type="dxa"/>
            <w:gridSpan w:val="4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Балансовые запасы, утвержденные ГКЗ </w:t>
            </w: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или ТКЗ КР</w:t>
            </w:r>
          </w:p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FD53A9" w:rsidTr="0096401A">
        <w:tc>
          <w:tcPr>
            <w:tcW w:w="565" w:type="dxa"/>
            <w:vMerge/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2270" w:type="dxa"/>
            <w:vMerge/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vMerge/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А+В+С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1</w:t>
            </w:r>
          </w:p>
        </w:tc>
        <w:tc>
          <w:tcPr>
            <w:tcW w:w="1134" w:type="dxa"/>
            <w:vMerge w:val="restart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  <w:textDirection w:val="btLr"/>
          </w:tcPr>
          <w:p w:rsidR="00FD53A9" w:rsidRPr="008E636E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добыча</w:t>
            </w:r>
          </w:p>
        </w:tc>
        <w:tc>
          <w:tcPr>
            <w:tcW w:w="708" w:type="dxa"/>
            <w:vMerge w:val="restart"/>
            <w:textDirection w:val="btLr"/>
          </w:tcPr>
          <w:p w:rsidR="00FD53A9" w:rsidRPr="008E636E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потерь при добыче</w:t>
            </w:r>
          </w:p>
        </w:tc>
        <w:tc>
          <w:tcPr>
            <w:tcW w:w="851" w:type="dxa"/>
            <w:vMerge w:val="restart"/>
            <w:textDirection w:val="btLr"/>
          </w:tcPr>
          <w:p w:rsidR="00FD53A9" w:rsidRPr="008E636E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 xml:space="preserve">Разведки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А+В+С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+С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FD53A9" w:rsidRPr="008E636E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ереоценки А+В+С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1</w:t>
            </w: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+С</w:t>
            </w:r>
            <w:r w:rsidRPr="008E636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708" w:type="dxa"/>
            <w:vMerge w:val="restart"/>
            <w:textDirection w:val="btLr"/>
          </w:tcPr>
          <w:p w:rsidR="00FD53A9" w:rsidRPr="00C37BF5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F5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неподтвердившихся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запасов А+В+С</w:t>
            </w:r>
            <w:r w:rsidRPr="008E636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D53A9" w:rsidRPr="00EC39A0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9A0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</w:t>
            </w:r>
            <w:proofErr w:type="spellStart"/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  <w:r w:rsidRPr="00EC39A0">
              <w:rPr>
                <w:rFonts w:ascii="Times New Roman" w:hAnsi="Times New Roman" w:cs="Times New Roman"/>
                <w:sz w:val="18"/>
                <w:szCs w:val="18"/>
              </w:rPr>
              <w:t>. границ и</w:t>
            </w:r>
          </w:p>
          <w:p w:rsidR="00FD53A9" w:rsidRPr="00EC39A0" w:rsidRDefault="00FD53A9" w:rsidP="0048424B">
            <w:pPr>
              <w:pStyle w:val="af"/>
              <w:contextualSpacing/>
              <w:jc w:val="center"/>
              <w:rPr>
                <w:sz w:val="18"/>
                <w:szCs w:val="18"/>
              </w:rPr>
            </w:pPr>
            <w:r w:rsidRPr="00EC39A0">
              <w:rPr>
                <w:sz w:val="18"/>
                <w:szCs w:val="18"/>
              </w:rPr>
              <w:t>по другим причин А+В+С</w:t>
            </w:r>
            <w:r w:rsidRPr="00EC39A0">
              <w:rPr>
                <w:sz w:val="18"/>
                <w:szCs w:val="18"/>
                <w:vertAlign w:val="subscript"/>
              </w:rPr>
              <w:t>1</w:t>
            </w:r>
          </w:p>
          <w:p w:rsidR="00FD53A9" w:rsidRPr="00EC39A0" w:rsidRDefault="00FD53A9" w:rsidP="0048424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2" w:type="dxa"/>
            <w:gridSpan w:val="5"/>
          </w:tcPr>
          <w:p w:rsidR="00FD53A9" w:rsidRPr="00625E18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E18">
              <w:rPr>
                <w:rFonts w:ascii="Times New Roman" w:hAnsi="Times New Roman" w:cs="Times New Roman"/>
                <w:sz w:val="23"/>
                <w:szCs w:val="23"/>
              </w:rPr>
              <w:t>балансовые</w:t>
            </w:r>
          </w:p>
        </w:tc>
        <w:tc>
          <w:tcPr>
            <w:tcW w:w="695" w:type="dxa"/>
            <w:vMerge w:val="restart"/>
            <w:textDirection w:val="btLr"/>
          </w:tcPr>
          <w:p w:rsidR="00FD53A9" w:rsidRPr="008E636E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E636E">
              <w:rPr>
                <w:rFonts w:ascii="Times New Roman" w:hAnsi="Times New Roman" w:cs="Times New Roman"/>
              </w:rPr>
              <w:t>забалансовые</w:t>
            </w:r>
            <w:proofErr w:type="spellEnd"/>
          </w:p>
        </w:tc>
        <w:tc>
          <w:tcPr>
            <w:tcW w:w="2004" w:type="dxa"/>
            <w:gridSpan w:val="2"/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на дату</w:t>
            </w: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утверждения</w:t>
            </w:r>
          </w:p>
        </w:tc>
        <w:tc>
          <w:tcPr>
            <w:tcW w:w="992" w:type="dxa"/>
          </w:tcPr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остаток на</w:t>
            </w: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  <w:vMerge w:val="restart"/>
          </w:tcPr>
          <w:p w:rsidR="00FD53A9" w:rsidRPr="00625E18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A9" w:rsidRPr="00625E18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3A9" w:rsidRPr="00625E18" w:rsidRDefault="00FD53A9" w:rsidP="0048424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18">
              <w:rPr>
                <w:rFonts w:ascii="Times New Roman" w:hAnsi="Times New Roman" w:cs="Times New Roman"/>
                <w:sz w:val="20"/>
                <w:szCs w:val="20"/>
              </w:rPr>
              <w:t>год утверждения и № протокола</w:t>
            </w:r>
          </w:p>
          <w:p w:rsidR="00FD53A9" w:rsidRPr="00625E18" w:rsidRDefault="00FD53A9" w:rsidP="0048424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D53A9" w:rsidTr="0096401A">
        <w:trPr>
          <w:trHeight w:val="1058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E18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FD53A9" w:rsidRPr="00625E18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E1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E1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640760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3A9" w:rsidRPr="00C51AB5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53A9" w:rsidRPr="00C51AB5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53A9" w:rsidRPr="00C51AB5" w:rsidRDefault="00FD53A9" w:rsidP="0048424B">
            <w:pPr>
              <w:contextualSpacing/>
              <w:rPr>
                <w:rFonts w:ascii="Times New Roman" w:hAnsi="Times New Roman" w:cs="Times New Roman"/>
              </w:rPr>
            </w:pPr>
            <w:r w:rsidRPr="00C51AB5">
              <w:rPr>
                <w:rFonts w:ascii="Times New Roman" w:hAnsi="Times New Roman" w:cs="Times New Roman"/>
              </w:rPr>
              <w:t>А+В+С</w:t>
            </w:r>
            <w:r w:rsidRPr="00C51AB5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D53A9" w:rsidRPr="00625E18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E1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625E1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sz w:val="18"/>
                <w:szCs w:val="18"/>
              </w:rPr>
            </w:pPr>
          </w:p>
          <w:p w:rsidR="00FD53A9" w:rsidRPr="00271DDC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271DDC">
              <w:t>А+В+С</w:t>
            </w:r>
            <w:r w:rsidRPr="00271DDC">
              <w:rPr>
                <w:vertAlign w:val="subscript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D53A9" w:rsidRPr="00271DDC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1DDC">
              <w:rPr>
                <w:rFonts w:ascii="Times New Roman" w:hAnsi="Times New Roman" w:cs="Times New Roman"/>
              </w:rPr>
              <w:t>С</w:t>
            </w:r>
            <w:r w:rsidRPr="00271DD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jc w:val="center"/>
            </w:pPr>
          </w:p>
          <w:p w:rsidR="00FD53A9" w:rsidRPr="00271DDC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271DDC">
              <w:t>А+В+С</w:t>
            </w:r>
            <w:r w:rsidRPr="00271DDC">
              <w:rPr>
                <w:vertAlign w:val="subscript"/>
              </w:rPr>
              <w:t>1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FD53A9" w:rsidRDefault="00FD53A9" w:rsidP="0048424B">
            <w:pPr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FD53A9" w:rsidRPr="008E636E" w:rsidTr="0096401A">
        <w:tc>
          <w:tcPr>
            <w:tcW w:w="565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70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8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3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3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93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44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695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052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52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92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83" w:type="dxa"/>
          </w:tcPr>
          <w:p w:rsidR="00FD53A9" w:rsidRPr="008E636E" w:rsidRDefault="00FD53A9" w:rsidP="0048424B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636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</w:tbl>
    <w:p w:rsidR="00FD53A9" w:rsidRDefault="00FD53A9" w:rsidP="0048424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FD53A9" w:rsidRDefault="00FD53A9" w:rsidP="0048424B">
      <w:pPr>
        <w:tabs>
          <w:tab w:val="num" w:pos="426"/>
        </w:tabs>
        <w:spacing w:after="0" w:line="240" w:lineRule="auto"/>
        <w:ind w:left="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D53A9" w:rsidSect="0048424B">
      <w:type w:val="continuous"/>
      <w:pgSz w:w="23814" w:h="16840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FB" w:rsidRDefault="00824FFB" w:rsidP="00A05F62">
      <w:pPr>
        <w:spacing w:after="0" w:line="240" w:lineRule="auto"/>
      </w:pPr>
      <w:r>
        <w:separator/>
      </w:r>
    </w:p>
  </w:endnote>
  <w:endnote w:type="continuationSeparator" w:id="0">
    <w:p w:rsidR="00824FFB" w:rsidRDefault="00824FFB" w:rsidP="00A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 w:rsidP="00642CF1">
    <w:pPr>
      <w:pStyle w:val="11"/>
      <w:widowControl w:val="0"/>
      <w:autoSpaceDE w:val="0"/>
      <w:autoSpaceDN w:val="0"/>
      <w:adjustRightInd w:val="0"/>
      <w:spacing w:after="0" w:line="240" w:lineRule="auto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:rsidR="00824FFB" w:rsidRPr="00464BAD" w:rsidRDefault="00824FFB" w:rsidP="00AF693C">
    <w:pPr>
      <w:pStyle w:val="11"/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FB" w:rsidRDefault="00824FFB" w:rsidP="00A05F62">
      <w:pPr>
        <w:spacing w:after="0" w:line="240" w:lineRule="auto"/>
      </w:pPr>
      <w:r>
        <w:separator/>
      </w:r>
    </w:p>
  </w:footnote>
  <w:footnote w:type="continuationSeparator" w:id="0">
    <w:p w:rsidR="00824FFB" w:rsidRDefault="00824FFB" w:rsidP="00A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FB" w:rsidRDefault="00824F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1BD"/>
    <w:multiLevelType w:val="hybridMultilevel"/>
    <w:tmpl w:val="6E7E3FDE"/>
    <w:lvl w:ilvl="0" w:tplc="15FA91E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893D2F"/>
    <w:multiLevelType w:val="hybridMultilevel"/>
    <w:tmpl w:val="0C569FAC"/>
    <w:lvl w:ilvl="0" w:tplc="28083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C6213"/>
    <w:multiLevelType w:val="hybridMultilevel"/>
    <w:tmpl w:val="8702C4E4"/>
    <w:lvl w:ilvl="0" w:tplc="28083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B473E"/>
    <w:multiLevelType w:val="multilevel"/>
    <w:tmpl w:val="097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81789"/>
    <w:multiLevelType w:val="hybridMultilevel"/>
    <w:tmpl w:val="13FE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0941"/>
    <w:multiLevelType w:val="hybridMultilevel"/>
    <w:tmpl w:val="6DAE0E60"/>
    <w:lvl w:ilvl="0" w:tplc="28083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6C"/>
    <w:rsid w:val="00027C51"/>
    <w:rsid w:val="0004510E"/>
    <w:rsid w:val="000637C6"/>
    <w:rsid w:val="0006480F"/>
    <w:rsid w:val="00066EF5"/>
    <w:rsid w:val="0007263C"/>
    <w:rsid w:val="0007365A"/>
    <w:rsid w:val="000753CF"/>
    <w:rsid w:val="000B6831"/>
    <w:rsid w:val="00102965"/>
    <w:rsid w:val="0016688E"/>
    <w:rsid w:val="00195130"/>
    <w:rsid w:val="00196F04"/>
    <w:rsid w:val="001F0EC9"/>
    <w:rsid w:val="002264A3"/>
    <w:rsid w:val="002672E0"/>
    <w:rsid w:val="002931A5"/>
    <w:rsid w:val="00296A9F"/>
    <w:rsid w:val="002B2E99"/>
    <w:rsid w:val="002D6959"/>
    <w:rsid w:val="002E0DDA"/>
    <w:rsid w:val="002E335A"/>
    <w:rsid w:val="00345C7E"/>
    <w:rsid w:val="00373638"/>
    <w:rsid w:val="00397A01"/>
    <w:rsid w:val="003B6154"/>
    <w:rsid w:val="00407751"/>
    <w:rsid w:val="004141B1"/>
    <w:rsid w:val="004449F9"/>
    <w:rsid w:val="0048424B"/>
    <w:rsid w:val="004A5563"/>
    <w:rsid w:val="004E3FF6"/>
    <w:rsid w:val="004F146C"/>
    <w:rsid w:val="00500A44"/>
    <w:rsid w:val="00510D78"/>
    <w:rsid w:val="00541C69"/>
    <w:rsid w:val="00544A71"/>
    <w:rsid w:val="0054560F"/>
    <w:rsid w:val="00546CB6"/>
    <w:rsid w:val="00554C71"/>
    <w:rsid w:val="00572B2B"/>
    <w:rsid w:val="00572DA2"/>
    <w:rsid w:val="00580C79"/>
    <w:rsid w:val="005B557C"/>
    <w:rsid w:val="005C2F28"/>
    <w:rsid w:val="005D0A5D"/>
    <w:rsid w:val="005D522C"/>
    <w:rsid w:val="0060396A"/>
    <w:rsid w:val="00605D22"/>
    <w:rsid w:val="00610547"/>
    <w:rsid w:val="00615EC2"/>
    <w:rsid w:val="00642CF1"/>
    <w:rsid w:val="00654BD7"/>
    <w:rsid w:val="00655649"/>
    <w:rsid w:val="00680450"/>
    <w:rsid w:val="00691D3D"/>
    <w:rsid w:val="006E4928"/>
    <w:rsid w:val="006E5872"/>
    <w:rsid w:val="00701345"/>
    <w:rsid w:val="00734DFA"/>
    <w:rsid w:val="0078016A"/>
    <w:rsid w:val="00787658"/>
    <w:rsid w:val="007A792B"/>
    <w:rsid w:val="007C2396"/>
    <w:rsid w:val="00813570"/>
    <w:rsid w:val="00824FFB"/>
    <w:rsid w:val="00852AAE"/>
    <w:rsid w:val="00865662"/>
    <w:rsid w:val="008752FC"/>
    <w:rsid w:val="008A60A5"/>
    <w:rsid w:val="008B5779"/>
    <w:rsid w:val="009052AA"/>
    <w:rsid w:val="00906FB8"/>
    <w:rsid w:val="00931A37"/>
    <w:rsid w:val="00941EBF"/>
    <w:rsid w:val="0096401A"/>
    <w:rsid w:val="0096540E"/>
    <w:rsid w:val="00965B00"/>
    <w:rsid w:val="009737BF"/>
    <w:rsid w:val="00991790"/>
    <w:rsid w:val="00993523"/>
    <w:rsid w:val="009A2759"/>
    <w:rsid w:val="009A4666"/>
    <w:rsid w:val="009C10AA"/>
    <w:rsid w:val="009C7C57"/>
    <w:rsid w:val="009D3A8B"/>
    <w:rsid w:val="009E1181"/>
    <w:rsid w:val="009E2CF8"/>
    <w:rsid w:val="00A05F62"/>
    <w:rsid w:val="00A570E1"/>
    <w:rsid w:val="00A633A4"/>
    <w:rsid w:val="00A76E56"/>
    <w:rsid w:val="00AB1EE1"/>
    <w:rsid w:val="00AC590C"/>
    <w:rsid w:val="00AF50FE"/>
    <w:rsid w:val="00AF693C"/>
    <w:rsid w:val="00B2618D"/>
    <w:rsid w:val="00B31BF8"/>
    <w:rsid w:val="00B56C20"/>
    <w:rsid w:val="00B613C2"/>
    <w:rsid w:val="00BA5F80"/>
    <w:rsid w:val="00BC3C82"/>
    <w:rsid w:val="00C31204"/>
    <w:rsid w:val="00C35122"/>
    <w:rsid w:val="00C35184"/>
    <w:rsid w:val="00C37995"/>
    <w:rsid w:val="00C71BA6"/>
    <w:rsid w:val="00CE1E9A"/>
    <w:rsid w:val="00CF5060"/>
    <w:rsid w:val="00D14BB2"/>
    <w:rsid w:val="00D23B2E"/>
    <w:rsid w:val="00D449C4"/>
    <w:rsid w:val="00D47782"/>
    <w:rsid w:val="00D63D29"/>
    <w:rsid w:val="00D73E0B"/>
    <w:rsid w:val="00D75262"/>
    <w:rsid w:val="00D84D20"/>
    <w:rsid w:val="00DA00FA"/>
    <w:rsid w:val="00DD35B0"/>
    <w:rsid w:val="00DE2F5C"/>
    <w:rsid w:val="00DE40A6"/>
    <w:rsid w:val="00DF3ADD"/>
    <w:rsid w:val="00E01A4A"/>
    <w:rsid w:val="00E01B80"/>
    <w:rsid w:val="00E26FAF"/>
    <w:rsid w:val="00E2747D"/>
    <w:rsid w:val="00E30004"/>
    <w:rsid w:val="00E306D3"/>
    <w:rsid w:val="00E64F18"/>
    <w:rsid w:val="00E73F04"/>
    <w:rsid w:val="00E760A2"/>
    <w:rsid w:val="00E82FDA"/>
    <w:rsid w:val="00E9729E"/>
    <w:rsid w:val="00EB00DF"/>
    <w:rsid w:val="00EB0CBE"/>
    <w:rsid w:val="00F159D1"/>
    <w:rsid w:val="00F232D3"/>
    <w:rsid w:val="00F56892"/>
    <w:rsid w:val="00F913FB"/>
    <w:rsid w:val="00FA7826"/>
    <w:rsid w:val="00FD53A9"/>
    <w:rsid w:val="00FD576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E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76C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FD576C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D576C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6C"/>
    <w:rPr>
      <w:rFonts w:ascii="Tahoma" w:hAnsi="Tahoma" w:cs="Tahoma"/>
      <w:sz w:val="16"/>
      <w:szCs w:val="16"/>
    </w:rPr>
  </w:style>
  <w:style w:type="paragraph" w:customStyle="1" w:styleId="tkRedakcijaSpisok">
    <w:name w:val="_В редакции список (tkRedakcijaSpisok)"/>
    <w:basedOn w:val="a"/>
    <w:rsid w:val="00787658"/>
    <w:pPr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787658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787658"/>
    <w:pPr>
      <w:spacing w:before="200"/>
    </w:pPr>
    <w:rPr>
      <w:rFonts w:ascii="Arial" w:hAnsi="Arial" w:cs="Arial"/>
      <w:i/>
      <w:iCs/>
      <w:sz w:val="20"/>
      <w:szCs w:val="20"/>
    </w:rPr>
  </w:style>
  <w:style w:type="paragraph" w:customStyle="1" w:styleId="tkZagolovok5">
    <w:name w:val="_Заголовок Статья (tkZagolovok5)"/>
    <w:basedOn w:val="a"/>
    <w:rsid w:val="00BA5F80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BA5F80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913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5E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rsid w:val="00615E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1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F5060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a">
    <w:name w:val="Основной текст Знак"/>
    <w:basedOn w:val="a0"/>
    <w:link w:val="a9"/>
    <w:rsid w:val="00CF5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0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F62"/>
  </w:style>
  <w:style w:type="paragraph" w:styleId="31">
    <w:name w:val="Body Text 3"/>
    <w:basedOn w:val="a"/>
    <w:link w:val="32"/>
    <w:uiPriority w:val="99"/>
    <w:semiHidden/>
    <w:unhideWhenUsed/>
    <w:rsid w:val="00A05F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5F62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D23B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3B2E"/>
  </w:style>
  <w:style w:type="paragraph" w:styleId="21">
    <w:name w:val="Body Text Indent 2"/>
    <w:basedOn w:val="a"/>
    <w:link w:val="22"/>
    <w:uiPriority w:val="99"/>
    <w:semiHidden/>
    <w:unhideWhenUsed/>
    <w:rsid w:val="00D23B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3B2E"/>
  </w:style>
  <w:style w:type="character" w:customStyle="1" w:styleId="20">
    <w:name w:val="Заголовок 2 Знак"/>
    <w:basedOn w:val="a0"/>
    <w:link w:val="2"/>
    <w:uiPriority w:val="9"/>
    <w:semiHidden/>
    <w:rsid w:val="00C35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5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5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351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C351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35184"/>
  </w:style>
  <w:style w:type="paragraph" w:styleId="af">
    <w:name w:val="Block Text"/>
    <w:basedOn w:val="a"/>
    <w:rsid w:val="00C35184"/>
    <w:pPr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FD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6401A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E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76C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FD576C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D576C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76C"/>
    <w:rPr>
      <w:rFonts w:ascii="Tahoma" w:hAnsi="Tahoma" w:cs="Tahoma"/>
      <w:sz w:val="16"/>
      <w:szCs w:val="16"/>
    </w:rPr>
  </w:style>
  <w:style w:type="paragraph" w:customStyle="1" w:styleId="tkRedakcijaSpisok">
    <w:name w:val="_В редакции список (tkRedakcijaSpisok)"/>
    <w:basedOn w:val="a"/>
    <w:rsid w:val="00787658"/>
    <w:pPr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787658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Rekvizit">
    <w:name w:val="_Реквизит (tkRekvizit)"/>
    <w:basedOn w:val="a"/>
    <w:rsid w:val="00787658"/>
    <w:pPr>
      <w:spacing w:before="200"/>
    </w:pPr>
    <w:rPr>
      <w:rFonts w:ascii="Arial" w:hAnsi="Arial" w:cs="Arial"/>
      <w:i/>
      <w:iCs/>
      <w:sz w:val="20"/>
      <w:szCs w:val="20"/>
    </w:rPr>
  </w:style>
  <w:style w:type="paragraph" w:customStyle="1" w:styleId="tkZagolovok5">
    <w:name w:val="_Заголовок Статья (tkZagolovok5)"/>
    <w:basedOn w:val="a"/>
    <w:rsid w:val="00BA5F80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BA5F80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913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5E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rsid w:val="00615E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1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F5060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a">
    <w:name w:val="Основной текст Знак"/>
    <w:basedOn w:val="a0"/>
    <w:link w:val="a9"/>
    <w:rsid w:val="00CF5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0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F62"/>
  </w:style>
  <w:style w:type="paragraph" w:styleId="31">
    <w:name w:val="Body Text 3"/>
    <w:basedOn w:val="a"/>
    <w:link w:val="32"/>
    <w:uiPriority w:val="99"/>
    <w:semiHidden/>
    <w:unhideWhenUsed/>
    <w:rsid w:val="00A05F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5F62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D23B2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3B2E"/>
  </w:style>
  <w:style w:type="paragraph" w:styleId="21">
    <w:name w:val="Body Text Indent 2"/>
    <w:basedOn w:val="a"/>
    <w:link w:val="22"/>
    <w:uiPriority w:val="99"/>
    <w:semiHidden/>
    <w:unhideWhenUsed/>
    <w:rsid w:val="00D23B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3B2E"/>
  </w:style>
  <w:style w:type="character" w:customStyle="1" w:styleId="20">
    <w:name w:val="Заголовок 2 Знак"/>
    <w:basedOn w:val="a0"/>
    <w:link w:val="2"/>
    <w:uiPriority w:val="9"/>
    <w:semiHidden/>
    <w:rsid w:val="00C35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5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5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351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C351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35184"/>
  </w:style>
  <w:style w:type="paragraph" w:styleId="af">
    <w:name w:val="Block Text"/>
    <w:basedOn w:val="a"/>
    <w:rsid w:val="00C35184"/>
    <w:pPr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FD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6401A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5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17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97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06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093A-62EF-4DB7-AEE0-464D9EE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admin</cp:lastModifiedBy>
  <cp:revision>38</cp:revision>
  <cp:lastPrinted>2017-08-18T10:56:00Z</cp:lastPrinted>
  <dcterms:created xsi:type="dcterms:W3CDTF">2017-06-09T08:54:00Z</dcterms:created>
  <dcterms:modified xsi:type="dcterms:W3CDTF">2017-08-18T10:58:00Z</dcterms:modified>
</cp:coreProperties>
</file>